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DB5A0">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重庆旅投景典房地产开发有限公司</w:t>
      </w:r>
    </w:p>
    <w:p w14:paraId="7DBABBFE">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职业化训练培训服务采购项目（第二次）</w:t>
      </w:r>
    </w:p>
    <w:p w14:paraId="68A20E0F">
      <w:pPr>
        <w:rPr>
          <w:rFonts w:ascii="方正小标宋_GBK" w:hAnsi="方正小标宋_GBK" w:eastAsia="方正小标宋_GBK" w:cs="方正小标宋_GBK"/>
          <w:sz w:val="44"/>
          <w:szCs w:val="44"/>
        </w:rPr>
      </w:pPr>
    </w:p>
    <w:p w14:paraId="109F64E3">
      <w:pPr>
        <w:rPr>
          <w:rFonts w:ascii="方正小标宋_GBK" w:hAnsi="方正小标宋_GBK" w:eastAsia="方正小标宋_GBK" w:cs="方正小标宋_GBK"/>
          <w:sz w:val="44"/>
          <w:szCs w:val="44"/>
        </w:rPr>
      </w:pPr>
    </w:p>
    <w:p w14:paraId="0F9AFA44">
      <w:pPr>
        <w:rPr>
          <w:rFonts w:ascii="方正小标宋_GBK" w:hAnsi="方正小标宋_GBK" w:eastAsia="方正小标宋_GBK" w:cs="方正小标宋_GBK"/>
          <w:sz w:val="44"/>
          <w:szCs w:val="44"/>
        </w:rPr>
      </w:pPr>
    </w:p>
    <w:p w14:paraId="0312ACDF">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询比采购文件</w:t>
      </w:r>
    </w:p>
    <w:p w14:paraId="0DE67EDF">
      <w:pPr>
        <w:rPr>
          <w:rFonts w:ascii="方正小标宋_GBK" w:hAnsi="方正小标宋_GBK" w:eastAsia="方正小标宋_GBK" w:cs="方正小标宋_GBK"/>
          <w:sz w:val="44"/>
          <w:szCs w:val="44"/>
        </w:rPr>
      </w:pPr>
    </w:p>
    <w:p w14:paraId="2E5DB8F8">
      <w:pPr>
        <w:rPr>
          <w:rFonts w:ascii="方正小标宋_GBK" w:hAnsi="方正小标宋_GBK" w:eastAsia="方正小标宋_GBK" w:cs="方正小标宋_GBK"/>
          <w:sz w:val="44"/>
          <w:szCs w:val="44"/>
        </w:rPr>
      </w:pPr>
    </w:p>
    <w:p w14:paraId="64B19AE8">
      <w:pPr>
        <w:rPr>
          <w:rFonts w:ascii="方正小标宋_GBK" w:hAnsi="方正小标宋_GBK" w:eastAsia="方正小标宋_GBK" w:cs="方正小标宋_GBK"/>
          <w:sz w:val="44"/>
          <w:szCs w:val="44"/>
        </w:rPr>
      </w:pPr>
    </w:p>
    <w:p w14:paraId="39B40E2A">
      <w:pPr>
        <w:rPr>
          <w:rFonts w:ascii="方正小标宋_GBK" w:hAnsi="方正小标宋_GBK" w:eastAsia="方正小标宋_GBK" w:cs="方正小标宋_GBK"/>
          <w:sz w:val="44"/>
          <w:szCs w:val="44"/>
        </w:rPr>
      </w:pPr>
    </w:p>
    <w:p w14:paraId="13B8D81E">
      <w:pPr>
        <w:jc w:val="center"/>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比选人：</w:t>
      </w:r>
      <w:r>
        <w:rPr>
          <w:rFonts w:hint="eastAsia" w:ascii="方正楷体_GBK" w:hAnsi="方正楷体_GBK" w:eastAsia="方正楷体_GBK" w:cs="方正楷体_GBK"/>
          <w:sz w:val="32"/>
          <w:szCs w:val="32"/>
          <w:lang w:eastAsia="zh-CN"/>
        </w:rPr>
        <w:t>重庆旅投景典房地产开发有限公司</w:t>
      </w:r>
    </w:p>
    <w:p w14:paraId="38FC1FC7">
      <w:pPr>
        <w:jc w:val="center"/>
        <w:rPr>
          <w:rFonts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lang w:val="en-US" w:eastAsia="zh-CN"/>
        </w:rPr>
        <w:t>2025</w:t>
      </w:r>
      <w:r>
        <w:rPr>
          <w:rFonts w:hint="eastAsia" w:ascii="方正楷体_GBK" w:hAnsi="方正楷体_GBK" w:eastAsia="方正楷体_GBK" w:cs="方正楷体_GBK"/>
          <w:sz w:val="32"/>
          <w:szCs w:val="32"/>
          <w:highlight w:val="none"/>
        </w:rPr>
        <w:t>年</w:t>
      </w:r>
      <w:r>
        <w:rPr>
          <w:rFonts w:hint="eastAsia" w:ascii="方正楷体_GBK" w:hAnsi="方正楷体_GBK" w:eastAsia="方正楷体_GBK" w:cs="方正楷体_GBK"/>
          <w:sz w:val="32"/>
          <w:szCs w:val="32"/>
          <w:highlight w:val="none"/>
          <w:lang w:val="en-US" w:eastAsia="zh-CN"/>
        </w:rPr>
        <w:t>9</w:t>
      </w:r>
      <w:r>
        <w:rPr>
          <w:rFonts w:hint="eastAsia" w:ascii="方正楷体_GBK" w:hAnsi="方正楷体_GBK" w:eastAsia="方正楷体_GBK" w:cs="方正楷体_GBK"/>
          <w:sz w:val="32"/>
          <w:szCs w:val="32"/>
          <w:highlight w:val="none"/>
        </w:rPr>
        <w:t>月</w:t>
      </w:r>
      <w:r>
        <w:rPr>
          <w:rFonts w:hint="eastAsia" w:ascii="方正楷体_GBK" w:hAnsi="方正楷体_GBK" w:eastAsia="方正楷体_GBK" w:cs="方正楷体_GBK"/>
          <w:sz w:val="32"/>
          <w:szCs w:val="32"/>
          <w:highlight w:val="none"/>
          <w:lang w:val="en-US" w:eastAsia="zh-CN"/>
        </w:rPr>
        <w:t>9</w:t>
      </w:r>
      <w:r>
        <w:rPr>
          <w:rFonts w:hint="eastAsia" w:ascii="方正楷体_GBK" w:hAnsi="方正楷体_GBK" w:eastAsia="方正楷体_GBK" w:cs="方正楷体_GBK"/>
          <w:sz w:val="32"/>
          <w:szCs w:val="32"/>
          <w:highlight w:val="none"/>
        </w:rPr>
        <w:t>日</w:t>
      </w:r>
    </w:p>
    <w:p w14:paraId="64DC32EC">
      <w:pPr>
        <w:jc w:val="center"/>
        <w:rPr>
          <w:rFonts w:ascii="方正楷体_GBK" w:hAnsi="方正楷体_GBK" w:eastAsia="方正楷体_GBK" w:cs="方正楷体_GBK"/>
          <w:sz w:val="32"/>
          <w:szCs w:val="32"/>
        </w:rPr>
      </w:pPr>
    </w:p>
    <w:p w14:paraId="7AA91470">
      <w:pPr>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br w:type="page"/>
      </w:r>
    </w:p>
    <w:p w14:paraId="55ADED28">
      <w:pPr>
        <w:jc w:val="center"/>
        <w:rPr>
          <w:rFonts w:ascii="方正黑体_GBK" w:hAnsi="方正黑体_GBK" w:eastAsia="方正黑体_GBK" w:cs="方正黑体_GBK"/>
          <w:sz w:val="40"/>
          <w:szCs w:val="40"/>
        </w:rPr>
      </w:pPr>
    </w:p>
    <w:p w14:paraId="4023ED61">
      <w:pPr>
        <w:jc w:val="center"/>
        <w:rPr>
          <w:rFonts w:ascii="方正黑体_GBK" w:hAnsi="方正黑体_GBK" w:eastAsia="方正黑体_GBK" w:cs="方正黑体_GBK"/>
          <w:sz w:val="40"/>
          <w:szCs w:val="40"/>
        </w:rPr>
      </w:pPr>
      <w:r>
        <w:rPr>
          <w:rFonts w:hint="eastAsia" w:ascii="方正黑体_GBK" w:hAnsi="方正黑体_GBK" w:eastAsia="方正黑体_GBK" w:cs="方正黑体_GBK"/>
          <w:sz w:val="40"/>
          <w:szCs w:val="40"/>
        </w:rPr>
        <w:t>目  录</w:t>
      </w:r>
    </w:p>
    <w:p w14:paraId="2D72387A">
      <w:pP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第一部分  项目概况</w:t>
      </w:r>
    </w:p>
    <w:p w14:paraId="5B37B2AE">
      <w:pP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第二部分  比选流程</w:t>
      </w:r>
    </w:p>
    <w:p w14:paraId="779181EA">
      <w:pP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第三部分  标项具体要求及评分规则</w:t>
      </w:r>
    </w:p>
    <w:p w14:paraId="22992E9F">
      <w:pP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第四部分  响应文件编制要求</w:t>
      </w:r>
    </w:p>
    <w:p w14:paraId="13C05CA8">
      <w:pPr>
        <w:rPr>
          <w:rFonts w:ascii="方正黑体_GBK" w:hAnsi="方正黑体_GBK" w:eastAsia="方正黑体_GBK" w:cs="方正黑体_GBK"/>
          <w:sz w:val="32"/>
          <w:szCs w:val="32"/>
        </w:rPr>
      </w:pPr>
    </w:p>
    <w:p w14:paraId="1736B5B6">
      <w:pPr>
        <w:jc w:val="center"/>
        <w:rPr>
          <w:rFonts w:ascii="方正黑体_GBK" w:hAnsi="方正黑体_GBK" w:eastAsia="方正黑体_GBK" w:cs="方正黑体_GBK"/>
          <w:sz w:val="32"/>
          <w:szCs w:val="32"/>
        </w:rPr>
      </w:pPr>
    </w:p>
    <w:p w14:paraId="30BB5A5A">
      <w:pPr>
        <w:jc w:val="center"/>
        <w:rPr>
          <w:rFonts w:ascii="方正黑体_GBK" w:hAnsi="方正黑体_GBK" w:eastAsia="方正黑体_GBK" w:cs="方正黑体_GBK"/>
          <w:sz w:val="32"/>
          <w:szCs w:val="32"/>
        </w:rPr>
      </w:pPr>
    </w:p>
    <w:p w14:paraId="041C52AD">
      <w:pPr>
        <w:jc w:val="center"/>
        <w:rPr>
          <w:rFonts w:ascii="方正黑体_GBK" w:hAnsi="方正黑体_GBK" w:eastAsia="方正黑体_GBK" w:cs="方正黑体_GBK"/>
          <w:sz w:val="32"/>
          <w:szCs w:val="32"/>
        </w:rPr>
      </w:pPr>
    </w:p>
    <w:p w14:paraId="1BDAC37C">
      <w:pPr>
        <w:jc w:val="center"/>
        <w:rPr>
          <w:rFonts w:ascii="方正黑体_GBK" w:hAnsi="方正黑体_GBK" w:eastAsia="方正黑体_GBK" w:cs="方正黑体_GBK"/>
          <w:sz w:val="32"/>
          <w:szCs w:val="32"/>
        </w:rPr>
      </w:pPr>
    </w:p>
    <w:p w14:paraId="33346B24">
      <w:pPr>
        <w:jc w:val="center"/>
        <w:rPr>
          <w:rFonts w:ascii="方正黑体_GBK" w:hAnsi="方正黑体_GBK" w:eastAsia="方正黑体_GBK" w:cs="方正黑体_GBK"/>
          <w:sz w:val="32"/>
          <w:szCs w:val="32"/>
        </w:rPr>
      </w:pPr>
    </w:p>
    <w:p w14:paraId="4D5B9136">
      <w:pPr>
        <w:jc w:val="center"/>
        <w:rPr>
          <w:rFonts w:ascii="方正黑体_GBK" w:hAnsi="方正黑体_GBK" w:eastAsia="方正黑体_GBK" w:cs="方正黑体_GBK"/>
          <w:sz w:val="32"/>
          <w:szCs w:val="32"/>
        </w:rPr>
      </w:pPr>
    </w:p>
    <w:p w14:paraId="7D50EA18">
      <w:pPr>
        <w:jc w:val="center"/>
        <w:rPr>
          <w:rFonts w:ascii="方正黑体_GBK" w:hAnsi="方正黑体_GBK" w:eastAsia="方正黑体_GBK" w:cs="方正黑体_GBK"/>
          <w:sz w:val="32"/>
          <w:szCs w:val="32"/>
        </w:rPr>
      </w:pPr>
    </w:p>
    <w:p w14:paraId="428DE370">
      <w:pPr>
        <w:jc w:val="center"/>
        <w:rPr>
          <w:rFonts w:ascii="方正黑体_GBK" w:hAnsi="方正黑体_GBK" w:eastAsia="方正黑体_GBK" w:cs="方正黑体_GBK"/>
          <w:sz w:val="32"/>
          <w:szCs w:val="32"/>
        </w:rPr>
      </w:pPr>
    </w:p>
    <w:p w14:paraId="7BD5130A">
      <w:pPr>
        <w:jc w:val="center"/>
        <w:rPr>
          <w:rFonts w:ascii="方正黑体_GBK" w:hAnsi="方正黑体_GBK" w:eastAsia="方正黑体_GBK" w:cs="方正黑体_GBK"/>
          <w:sz w:val="32"/>
          <w:szCs w:val="32"/>
        </w:rPr>
      </w:pPr>
    </w:p>
    <w:p w14:paraId="193F218F">
      <w:pPr>
        <w:jc w:val="center"/>
        <w:rPr>
          <w:rFonts w:ascii="方正黑体_GBK" w:hAnsi="方正黑体_GBK" w:eastAsia="方正黑体_GBK" w:cs="方正黑体_GBK"/>
          <w:sz w:val="32"/>
          <w:szCs w:val="32"/>
        </w:rPr>
      </w:pPr>
    </w:p>
    <w:p w14:paraId="69DD5A5D">
      <w:pPr>
        <w:jc w:val="center"/>
        <w:rPr>
          <w:rFonts w:ascii="方正黑体_GBK" w:hAnsi="方正黑体_GBK" w:eastAsia="方正黑体_GBK" w:cs="方正黑体_GBK"/>
          <w:sz w:val="32"/>
          <w:szCs w:val="32"/>
        </w:rPr>
      </w:pPr>
    </w:p>
    <w:p w14:paraId="5C579C99">
      <w:pPr>
        <w:jc w:val="center"/>
        <w:rPr>
          <w:rFonts w:ascii="方正黑体_GBK" w:hAnsi="方正黑体_GBK" w:eastAsia="方正黑体_GBK" w:cs="方正黑体_GBK"/>
          <w:sz w:val="32"/>
          <w:szCs w:val="32"/>
        </w:rPr>
      </w:pPr>
    </w:p>
    <w:p w14:paraId="66A99351">
      <w:pPr>
        <w:jc w:val="center"/>
        <w:rPr>
          <w:rFonts w:ascii="方正黑体_GBK" w:hAnsi="方正黑体_GBK" w:eastAsia="方正黑体_GBK" w:cs="方正黑体_GBK"/>
          <w:sz w:val="32"/>
          <w:szCs w:val="32"/>
        </w:rPr>
      </w:pPr>
    </w:p>
    <w:p w14:paraId="189B4937">
      <w:pPr>
        <w:jc w:val="center"/>
        <w:rPr>
          <w:rFonts w:hint="eastAsia" w:ascii="方正小标宋_GBK" w:hAnsi="方正小标宋_GBK" w:eastAsia="方正小标宋_GBK" w:cs="方正小标宋_GBK"/>
          <w:sz w:val="32"/>
          <w:szCs w:val="32"/>
        </w:rPr>
        <w:sectPr>
          <w:footerReference r:id="rId3" w:type="default"/>
          <w:pgSz w:w="11905" w:h="16838"/>
          <w:pgMar w:top="2098" w:right="1531" w:bottom="1984" w:left="1531" w:header="851" w:footer="992" w:gutter="0"/>
          <w:cols w:space="425" w:num="1"/>
          <w:docGrid w:type="lines" w:linePitch="319" w:charSpace="0"/>
        </w:sectPr>
      </w:pPr>
    </w:p>
    <w:p w14:paraId="61EC1245">
      <w:pPr>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第一部分  项目概况</w:t>
      </w:r>
    </w:p>
    <w:p w14:paraId="05008DE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微软雅黑" w:eastAsia="方正黑体_GBK"/>
          <w:sz w:val="32"/>
          <w:szCs w:val="32"/>
        </w:rPr>
      </w:pPr>
    </w:p>
    <w:p w14:paraId="7C5960F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微软雅黑" w:eastAsia="方正仿宋_GBK"/>
          <w:sz w:val="32"/>
          <w:szCs w:val="32"/>
          <w:lang w:eastAsia="zh-CN"/>
        </w:rPr>
      </w:pPr>
      <w:r>
        <w:rPr>
          <w:rFonts w:hint="eastAsia" w:ascii="方正黑体_GBK" w:hAnsi="方正黑体_GBK" w:eastAsia="方正黑体_GBK" w:cs="方正黑体_GBK"/>
          <w:sz w:val="32"/>
          <w:szCs w:val="32"/>
          <w:lang w:eastAsia="zh-CN"/>
        </w:rPr>
        <w:t>一、</w:t>
      </w:r>
      <w:r>
        <w:rPr>
          <w:rFonts w:hint="eastAsia" w:ascii="方正黑体_GBK" w:hAnsi="方正黑体_GBK" w:eastAsia="方正黑体_GBK" w:cs="方正黑体_GBK"/>
          <w:sz w:val="32"/>
          <w:szCs w:val="32"/>
        </w:rPr>
        <w:t>项目名称</w:t>
      </w:r>
      <w:r>
        <w:rPr>
          <w:rFonts w:hint="eastAsia" w:ascii="方正仿宋_GBK" w:eastAsia="方正仿宋_GBK"/>
          <w:sz w:val="32"/>
          <w:szCs w:val="32"/>
          <w:lang w:eastAsia="zh-CN"/>
        </w:rPr>
        <w:t>：</w:t>
      </w:r>
      <w:r>
        <w:rPr>
          <w:rFonts w:hint="eastAsia" w:ascii="方正仿宋_GBK" w:hAnsi="微软雅黑" w:eastAsia="方正仿宋_GBK"/>
          <w:sz w:val="32"/>
          <w:szCs w:val="32"/>
          <w:lang w:eastAsia="zh-CN"/>
        </w:rPr>
        <w:t>职业化训练培训服务（第二次）。</w:t>
      </w:r>
    </w:p>
    <w:p w14:paraId="2632905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微软雅黑" w:eastAsia="方正黑体_GBK"/>
          <w:sz w:val="32"/>
          <w:szCs w:val="32"/>
          <w:lang w:eastAsia="zh-CN"/>
        </w:rPr>
      </w:pPr>
      <w:r>
        <w:rPr>
          <w:rFonts w:hint="eastAsia" w:ascii="方正黑体_GBK" w:hAnsi="微软雅黑" w:eastAsia="方正黑体_GBK"/>
          <w:sz w:val="32"/>
          <w:szCs w:val="32"/>
          <w:lang w:eastAsia="zh-CN"/>
        </w:rPr>
        <w:t>二</w:t>
      </w:r>
      <w:r>
        <w:rPr>
          <w:rFonts w:hint="eastAsia" w:ascii="方正黑体_GBK" w:hAnsi="微软雅黑" w:eastAsia="方正黑体_GBK"/>
          <w:sz w:val="32"/>
          <w:szCs w:val="32"/>
        </w:rPr>
        <w:t>、</w:t>
      </w:r>
      <w:r>
        <w:rPr>
          <w:rFonts w:hint="eastAsia" w:ascii="方正黑体_GBK" w:hAnsi="微软雅黑" w:eastAsia="方正黑体_GBK"/>
          <w:sz w:val="32"/>
          <w:szCs w:val="32"/>
          <w:lang w:eastAsia="zh-CN"/>
        </w:rPr>
        <w:t>项目简介</w:t>
      </w:r>
    </w:p>
    <w:p w14:paraId="5D1D39E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微软雅黑" w:eastAsia="方正仿宋_GBK"/>
          <w:sz w:val="32"/>
          <w:szCs w:val="32"/>
          <w:lang w:eastAsia="zh-CN"/>
        </w:rPr>
      </w:pPr>
      <w:r>
        <w:rPr>
          <w:rFonts w:hint="eastAsia" w:ascii="方正仿宋_GBK" w:hAnsi="微软雅黑" w:eastAsia="方正仿宋_GBK"/>
          <w:sz w:val="32"/>
          <w:szCs w:val="32"/>
          <w:lang w:eastAsia="zh-CN"/>
        </w:rPr>
        <w:t>根据重庆旅投景典房地产开发有限公司202</w:t>
      </w:r>
      <w:r>
        <w:rPr>
          <w:rFonts w:hint="eastAsia" w:ascii="方正仿宋_GBK" w:hAnsi="微软雅黑" w:eastAsia="方正仿宋_GBK"/>
          <w:sz w:val="32"/>
          <w:szCs w:val="32"/>
          <w:lang w:val="en-US" w:eastAsia="zh-CN"/>
        </w:rPr>
        <w:t>5</w:t>
      </w:r>
      <w:r>
        <w:rPr>
          <w:rFonts w:hint="eastAsia" w:ascii="方正仿宋_GBK" w:hAnsi="微软雅黑" w:eastAsia="方正仿宋_GBK"/>
          <w:sz w:val="32"/>
          <w:szCs w:val="32"/>
          <w:lang w:eastAsia="zh-CN"/>
        </w:rPr>
        <w:t>年度培训计划安排，为进一步提升员工职业素养，计划开展一次职业化训练培训服务。</w:t>
      </w:r>
      <w:r>
        <w:rPr>
          <w:rFonts w:hint="eastAsia" w:ascii="方正仿宋_GBK" w:hAnsi="微软雅黑" w:eastAsia="方正仿宋_GBK"/>
          <w:sz w:val="32"/>
          <w:szCs w:val="32"/>
          <w:lang w:val="en-US" w:eastAsia="zh-CN"/>
        </w:rPr>
        <w:t>培训时长1天，参训人数</w:t>
      </w:r>
      <w:r>
        <w:rPr>
          <w:rFonts w:hint="eastAsia" w:ascii="方正仿宋_GBK" w:hAnsi="方正仿宋_GBK" w:eastAsia="方正仿宋_GBK" w:cs="方正仿宋_GBK"/>
          <w:sz w:val="32"/>
          <w:szCs w:val="32"/>
        </w:rPr>
        <w:t>约</w:t>
      </w:r>
      <w:r>
        <w:rPr>
          <w:rFonts w:hint="eastAsia" w:ascii="方正仿宋_GBK" w:hAnsi="方正仿宋_GBK" w:eastAsia="方正仿宋_GBK" w:cs="方正仿宋_GBK"/>
          <w:sz w:val="32"/>
          <w:szCs w:val="32"/>
          <w:lang w:val="en-US" w:eastAsia="zh-CN"/>
        </w:rPr>
        <w:t>20</w:t>
      </w:r>
      <w:r>
        <w:rPr>
          <w:rFonts w:hint="eastAsia" w:ascii="方正仿宋_GBK" w:hAnsi="方正仿宋_GBK" w:eastAsia="方正仿宋_GBK" w:cs="方正仿宋_GBK"/>
          <w:sz w:val="32"/>
          <w:szCs w:val="32"/>
        </w:rPr>
        <w:t>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以实际参训人数为准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培训地址为重庆市武隆区仙女山镇银杏大道157号1幢1-1号，</w:t>
      </w:r>
      <w:r>
        <w:rPr>
          <w:rFonts w:hint="eastAsia" w:ascii="方正仿宋_GBK" w:hAnsi="微软雅黑" w:eastAsia="方正仿宋_GBK"/>
          <w:sz w:val="32"/>
          <w:szCs w:val="32"/>
        </w:rPr>
        <w:t>具体以采购人确认的为准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计划开展时间</w:t>
      </w:r>
      <w:r>
        <w:rPr>
          <w:rFonts w:hint="eastAsia" w:ascii="方正仿宋_GBK" w:hAnsi="微软雅黑" w:eastAsia="方正仿宋_GBK"/>
          <w:sz w:val="32"/>
          <w:szCs w:val="32"/>
        </w:rPr>
        <w:t>以采购人实际通知为准</w:t>
      </w:r>
      <w:r>
        <w:rPr>
          <w:rFonts w:hint="eastAsia" w:ascii="方正仿宋_GBK" w:hAnsi="微软雅黑" w:eastAsia="方正仿宋_GBK"/>
          <w:sz w:val="32"/>
          <w:szCs w:val="32"/>
          <w:lang w:eastAsia="zh-CN"/>
        </w:rPr>
        <w:t>。</w:t>
      </w:r>
    </w:p>
    <w:p w14:paraId="07912D5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val="en-US" w:eastAsia="zh-CN"/>
        </w:rPr>
        <w:t>三</w:t>
      </w:r>
      <w:r>
        <w:rPr>
          <w:rFonts w:hint="eastAsia" w:ascii="方正黑体_GBK" w:hAnsi="方正黑体_GBK" w:eastAsia="方正黑体_GBK" w:cs="方正黑体_GBK"/>
          <w:sz w:val="32"/>
          <w:szCs w:val="32"/>
          <w:lang w:eastAsia="zh-CN"/>
        </w:rPr>
        <w:t>、</w:t>
      </w:r>
      <w:r>
        <w:rPr>
          <w:rFonts w:hint="eastAsia" w:ascii="方正黑体_GBK" w:hAnsi="方正黑体_GBK" w:eastAsia="方正黑体_GBK" w:cs="方正黑体_GBK"/>
          <w:sz w:val="32"/>
          <w:szCs w:val="32"/>
        </w:rPr>
        <w:t>采购组织类型：</w:t>
      </w:r>
      <w:r>
        <w:rPr>
          <w:rFonts w:hint="eastAsia" w:ascii="方正仿宋_GBK" w:hAnsi="方正仿宋_GBK" w:eastAsia="方正仿宋_GBK" w:cs="方正仿宋_GBK"/>
          <w:sz w:val="32"/>
          <w:szCs w:val="32"/>
        </w:rPr>
        <w:t>询比采购</w:t>
      </w:r>
      <w:r>
        <w:rPr>
          <w:rFonts w:hint="eastAsia" w:ascii="方正仿宋_GBK" w:hAnsi="方正仿宋_GBK" w:eastAsia="方正仿宋_GBK" w:cs="方正仿宋_GBK"/>
          <w:sz w:val="32"/>
          <w:szCs w:val="32"/>
          <w:lang w:eastAsia="zh-CN"/>
        </w:rPr>
        <w:t>。</w:t>
      </w:r>
    </w:p>
    <w:p w14:paraId="268BF90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、招标项目概况：</w:t>
      </w:r>
    </w:p>
    <w:tbl>
      <w:tblPr>
        <w:tblStyle w:val="14"/>
        <w:tblW w:w="0" w:type="auto"/>
        <w:jc w:val="center"/>
        <w:tblLayout w:type="autofit"/>
        <w:tblCellMar>
          <w:top w:w="0" w:type="dxa"/>
          <w:left w:w="108" w:type="dxa"/>
          <w:bottom w:w="0" w:type="dxa"/>
          <w:right w:w="108" w:type="dxa"/>
        </w:tblCellMar>
      </w:tblPr>
      <w:tblGrid>
        <w:gridCol w:w="656"/>
        <w:gridCol w:w="2097"/>
        <w:gridCol w:w="1096"/>
        <w:gridCol w:w="5210"/>
      </w:tblGrid>
      <w:tr w14:paraId="4AF08941">
        <w:tblPrEx>
          <w:tblCellMar>
            <w:top w:w="0" w:type="dxa"/>
            <w:left w:w="108" w:type="dxa"/>
            <w:bottom w:w="0" w:type="dxa"/>
            <w:right w:w="108" w:type="dxa"/>
          </w:tblCellMar>
        </w:tblPrEx>
        <w:trPr>
          <w:trHeight w:val="703"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8FF167F">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方正黑体_GBK" w:hAnsi="方正黑体_GBK" w:eastAsia="方正黑体_GBK" w:cs="方正黑体_GBK"/>
                <w:color w:val="000000"/>
                <w:sz w:val="22"/>
                <w:szCs w:val="22"/>
              </w:rPr>
            </w:pPr>
            <w:r>
              <w:rPr>
                <w:rFonts w:hint="eastAsia" w:ascii="方正黑体_GBK" w:hAnsi="方正黑体_GBK" w:eastAsia="方正黑体_GBK" w:cs="方正黑体_GBK"/>
                <w:color w:val="000000"/>
                <w:kern w:val="0"/>
                <w:sz w:val="22"/>
                <w:szCs w:val="22"/>
                <w:lang w:bidi="ar"/>
              </w:rPr>
              <w:t>序号</w:t>
            </w:r>
          </w:p>
        </w:tc>
        <w:tc>
          <w:tcPr>
            <w:tcW w:w="0" w:type="auto"/>
            <w:tcBorders>
              <w:top w:val="single" w:color="000000" w:sz="4" w:space="0"/>
              <w:left w:val="single" w:color="000000" w:sz="4" w:space="0"/>
              <w:bottom w:val="single" w:color="000000" w:sz="4" w:space="0"/>
              <w:right w:val="single" w:color="000000" w:sz="4" w:space="0"/>
            </w:tcBorders>
            <w:vAlign w:val="center"/>
          </w:tcPr>
          <w:p w14:paraId="21B5BC66">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方正黑体_GBK" w:hAnsi="方正黑体_GBK" w:eastAsia="方正黑体_GBK" w:cs="方正黑体_GBK"/>
                <w:color w:val="000000"/>
                <w:sz w:val="22"/>
                <w:szCs w:val="22"/>
              </w:rPr>
            </w:pPr>
            <w:r>
              <w:rPr>
                <w:rFonts w:hint="eastAsia" w:ascii="方正黑体_GBK" w:hAnsi="方正黑体_GBK" w:eastAsia="方正黑体_GBK" w:cs="方正黑体_GBK"/>
                <w:color w:val="000000"/>
                <w:kern w:val="0"/>
                <w:sz w:val="22"/>
                <w:szCs w:val="22"/>
                <w:lang w:bidi="ar"/>
              </w:rPr>
              <w:t>标项内容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4CE42D">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方正黑体_GBK" w:hAnsi="方正黑体_GBK" w:eastAsia="方正黑体_GBK" w:cs="方正黑体_GBK"/>
                <w:color w:val="000000"/>
                <w:kern w:val="0"/>
                <w:sz w:val="22"/>
                <w:szCs w:val="22"/>
                <w:lang w:bidi="ar"/>
              </w:rPr>
            </w:pPr>
            <w:r>
              <w:rPr>
                <w:rFonts w:hint="eastAsia" w:ascii="方正黑体_GBK" w:hAnsi="方正黑体_GBK" w:eastAsia="方正黑体_GBK" w:cs="方正黑体_GBK"/>
                <w:color w:val="000000"/>
                <w:kern w:val="0"/>
                <w:sz w:val="22"/>
                <w:szCs w:val="22"/>
                <w:lang w:bidi="ar"/>
              </w:rPr>
              <w:t>最高限价</w:t>
            </w:r>
          </w:p>
          <w:p w14:paraId="1F43C811">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方正黑体_GBK" w:hAnsi="方正黑体_GBK" w:eastAsia="方正黑体_GBK" w:cs="方正黑体_GBK"/>
                <w:color w:val="000000"/>
                <w:kern w:val="0"/>
                <w:sz w:val="22"/>
                <w:szCs w:val="22"/>
                <w:lang w:bidi="ar"/>
              </w:rPr>
            </w:pPr>
            <w:r>
              <w:rPr>
                <w:rFonts w:hint="eastAsia" w:ascii="方正黑体_GBK" w:hAnsi="方正黑体_GBK" w:eastAsia="方正黑体_GBK" w:cs="方正黑体_GBK"/>
                <w:color w:val="000000"/>
                <w:kern w:val="0"/>
                <w:sz w:val="22"/>
                <w:szCs w:val="22"/>
                <w:lang w:bidi="ar"/>
              </w:rPr>
              <w:t>（万元）</w:t>
            </w:r>
          </w:p>
        </w:tc>
        <w:tc>
          <w:tcPr>
            <w:tcW w:w="0" w:type="auto"/>
            <w:tcBorders>
              <w:top w:val="single" w:color="000000" w:sz="4" w:space="0"/>
              <w:left w:val="single" w:color="000000" w:sz="4" w:space="0"/>
              <w:bottom w:val="single" w:color="000000" w:sz="4" w:space="0"/>
              <w:right w:val="single" w:color="000000" w:sz="4" w:space="0"/>
            </w:tcBorders>
            <w:vAlign w:val="center"/>
          </w:tcPr>
          <w:p w14:paraId="50882287">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方正黑体_GBK" w:hAnsi="方正黑体_GBK" w:eastAsia="方正黑体_GBK" w:cs="方正黑体_GBK"/>
                <w:color w:val="000000"/>
                <w:kern w:val="0"/>
                <w:sz w:val="22"/>
                <w:szCs w:val="22"/>
                <w:lang w:bidi="ar"/>
              </w:rPr>
            </w:pPr>
            <w:r>
              <w:rPr>
                <w:rFonts w:hint="eastAsia" w:ascii="方正黑体_GBK" w:hAnsi="方正黑体_GBK" w:eastAsia="方正黑体_GBK" w:cs="方正黑体_GBK"/>
                <w:color w:val="000000"/>
                <w:kern w:val="0"/>
                <w:sz w:val="22"/>
                <w:szCs w:val="22"/>
                <w:lang w:bidi="ar"/>
              </w:rPr>
              <w:t>备注</w:t>
            </w:r>
          </w:p>
        </w:tc>
      </w:tr>
      <w:tr w14:paraId="7E15680C">
        <w:tblPrEx>
          <w:tblCellMar>
            <w:top w:w="0" w:type="dxa"/>
            <w:left w:w="108" w:type="dxa"/>
            <w:bottom w:w="0" w:type="dxa"/>
            <w:right w:w="108" w:type="dxa"/>
          </w:tblCellMar>
        </w:tblPrEx>
        <w:trPr>
          <w:trHeight w:val="833"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7E65A4A">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方正楷体_GBK" w:hAnsi="方正楷体_GBK" w:eastAsia="方正楷体_GBK" w:cs="方正楷体_GBK"/>
                <w:color w:val="000000"/>
                <w:sz w:val="24"/>
                <w:szCs w:val="24"/>
              </w:rPr>
            </w:pPr>
            <w:r>
              <w:rPr>
                <w:rFonts w:hint="eastAsia" w:ascii="方正楷体_GBK" w:hAnsi="方正楷体_GBK" w:eastAsia="方正楷体_GBK" w:cs="方正楷体_GBK"/>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61C68F30">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方正楷体_GBK" w:hAnsi="方正楷体_GBK" w:eastAsia="方正楷体_GBK" w:cs="方正楷体_GBK"/>
                <w:color w:val="000000"/>
                <w:sz w:val="24"/>
                <w:szCs w:val="24"/>
              </w:rPr>
            </w:pPr>
            <w:r>
              <w:rPr>
                <w:rFonts w:hint="eastAsia" w:ascii="方正楷体_GBK" w:hAnsi="方正楷体_GBK" w:eastAsia="方正楷体_GBK" w:cs="方正楷体_GBK"/>
                <w:color w:val="000000"/>
                <w:sz w:val="24"/>
                <w:szCs w:val="24"/>
                <w:lang w:eastAsia="zh-CN"/>
              </w:rPr>
              <w:t>职业化训练</w:t>
            </w:r>
            <w:r>
              <w:rPr>
                <w:rFonts w:hint="eastAsia" w:ascii="方正楷体_GBK" w:hAnsi="方正楷体_GBK" w:eastAsia="方正楷体_GBK" w:cs="方正楷体_GBK"/>
                <w:color w:val="000000"/>
                <w:sz w:val="24"/>
                <w:szCs w:val="24"/>
              </w:rPr>
              <w:t>培训服务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58C8B8">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方正楷体_GBK" w:hAnsi="方正楷体_GBK" w:eastAsia="方正楷体_GBK" w:cs="方正楷体_GBK"/>
                <w:color w:val="000000"/>
                <w:sz w:val="24"/>
                <w:szCs w:val="24"/>
                <w:lang w:val="en-US" w:eastAsia="zh-CN"/>
              </w:rPr>
            </w:pPr>
            <w:r>
              <w:rPr>
                <w:rFonts w:hint="eastAsia" w:ascii="方正楷体_GBK" w:hAnsi="方正楷体_GBK" w:eastAsia="方正楷体_GBK" w:cs="方正楷体_GBK"/>
                <w:color w:val="000000"/>
                <w:kern w:val="0"/>
                <w:sz w:val="24"/>
                <w:szCs w:val="24"/>
                <w:lang w:val="en-US" w:eastAsia="zh-CN" w:bidi="ar"/>
              </w:rPr>
              <w:t>1.2</w:t>
            </w:r>
          </w:p>
        </w:tc>
        <w:tc>
          <w:tcPr>
            <w:tcW w:w="0" w:type="auto"/>
            <w:tcBorders>
              <w:top w:val="single" w:color="000000" w:sz="4" w:space="0"/>
              <w:left w:val="single" w:color="000000" w:sz="4" w:space="0"/>
              <w:right w:val="single" w:color="000000" w:sz="4" w:space="0"/>
            </w:tcBorders>
            <w:vAlign w:val="center"/>
          </w:tcPr>
          <w:p w14:paraId="17F6D7E8">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ascii="方正楷体_GBK" w:hAnsi="方正楷体_GBK" w:eastAsia="方正楷体_GBK" w:cs="方正楷体_GBK"/>
                <w:color w:val="000000"/>
                <w:kern w:val="0"/>
                <w:sz w:val="20"/>
                <w:szCs w:val="20"/>
                <w:lang w:bidi="ar"/>
              </w:rPr>
            </w:pPr>
            <w:r>
              <w:rPr>
                <w:rFonts w:hint="eastAsia" w:ascii="方正楷体_GBK" w:hAnsi="方正楷体_GBK" w:eastAsia="方正楷体_GBK" w:cs="方正楷体_GBK"/>
                <w:color w:val="000000"/>
                <w:kern w:val="0"/>
                <w:sz w:val="24"/>
                <w:szCs w:val="24"/>
                <w:lang w:bidi="ar"/>
              </w:rPr>
              <w:t>服务事项包含：培训全流程项目运营、培训学习资料。</w:t>
            </w:r>
          </w:p>
        </w:tc>
      </w:tr>
      <w:tr w14:paraId="56ADD0DD">
        <w:tblPrEx>
          <w:tblCellMar>
            <w:top w:w="0" w:type="dxa"/>
            <w:left w:w="108" w:type="dxa"/>
            <w:bottom w:w="0" w:type="dxa"/>
            <w:right w:w="108" w:type="dxa"/>
          </w:tblCellMar>
        </w:tblPrEx>
        <w:trPr>
          <w:trHeight w:val="540" w:hRule="atLeast"/>
          <w:jc w:val="center"/>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7EC01CFC">
            <w:pPr>
              <w:keepNext w:val="0"/>
              <w:keepLines w:val="0"/>
              <w:pageBreakBefore w:val="0"/>
              <w:kinsoku/>
              <w:wordWrap/>
              <w:overflowPunct/>
              <w:topLinePunct w:val="0"/>
              <w:autoSpaceDE/>
              <w:autoSpaceDN/>
              <w:bidi w:val="0"/>
              <w:adjustRightInd/>
              <w:snapToGrid/>
              <w:spacing w:line="440" w:lineRule="exact"/>
              <w:jc w:val="center"/>
              <w:rPr>
                <w:rFonts w:ascii="方正楷体_GBK" w:hAnsi="方正楷体_GBK" w:eastAsia="方正楷体_GBK" w:cs="方正楷体_GBK"/>
                <w:color w:val="000000"/>
                <w:sz w:val="24"/>
                <w:szCs w:val="24"/>
              </w:rPr>
            </w:pPr>
            <w:r>
              <w:rPr>
                <w:rFonts w:hint="eastAsia" w:ascii="方正楷体_GBK" w:hAnsi="方正楷体_GBK" w:eastAsia="方正楷体_GBK" w:cs="方正楷体_GBK"/>
                <w:color w:val="000000"/>
                <w:sz w:val="24"/>
                <w:szCs w:val="24"/>
              </w:rPr>
              <w:t>小计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E92523">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方正楷体_GBK" w:hAnsi="方正楷体_GBK" w:eastAsia="方正楷体_GBK" w:cs="方正楷体_GBK"/>
                <w:color w:val="000000"/>
                <w:sz w:val="24"/>
                <w:szCs w:val="24"/>
                <w:lang w:val="en-US" w:eastAsia="zh-CN"/>
              </w:rPr>
            </w:pPr>
            <w:r>
              <w:rPr>
                <w:rFonts w:hint="eastAsia" w:ascii="方正楷体_GBK" w:hAnsi="方正楷体_GBK" w:eastAsia="方正楷体_GBK" w:cs="方正楷体_GBK"/>
                <w:color w:val="000000"/>
                <w:kern w:val="0"/>
                <w:sz w:val="24"/>
                <w:szCs w:val="24"/>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vAlign w:val="center"/>
          </w:tcPr>
          <w:p w14:paraId="7E4A9746">
            <w:pPr>
              <w:keepNext w:val="0"/>
              <w:keepLines w:val="0"/>
              <w:pageBreakBefore w:val="0"/>
              <w:kinsoku/>
              <w:wordWrap/>
              <w:overflowPunct/>
              <w:topLinePunct w:val="0"/>
              <w:autoSpaceDE/>
              <w:autoSpaceDN/>
              <w:bidi w:val="0"/>
              <w:adjustRightInd/>
              <w:snapToGrid/>
              <w:spacing w:line="440" w:lineRule="exact"/>
              <w:jc w:val="center"/>
              <w:rPr>
                <w:rFonts w:ascii="方正楷体_GBK" w:hAnsi="方正楷体_GBK" w:eastAsia="方正楷体_GBK" w:cs="方正楷体_GBK"/>
                <w:color w:val="000000"/>
                <w:sz w:val="24"/>
                <w:szCs w:val="24"/>
              </w:rPr>
            </w:pPr>
          </w:p>
        </w:tc>
      </w:tr>
    </w:tbl>
    <w:p w14:paraId="1C4BDA16">
      <w:pPr>
        <w:pStyle w:val="18"/>
      </w:pPr>
    </w:p>
    <w:p w14:paraId="25C39B21">
      <w:pPr>
        <w:rPr>
          <w:rFonts w:hint="eastAsia" w:ascii="方正小标宋_GBK" w:hAnsi="方正小标宋_GBK" w:eastAsia="方正小标宋_GBK" w:cs="方正小标宋_GBK"/>
          <w:sz w:val="32"/>
          <w:szCs w:val="32"/>
        </w:rPr>
      </w:pPr>
      <w:bookmarkStart w:id="0" w:name="_Toc115076729"/>
      <w:bookmarkStart w:id="1" w:name="_Toc12378"/>
      <w:r>
        <w:rPr>
          <w:rFonts w:hint="eastAsia" w:ascii="方正小标宋_GBK" w:hAnsi="方正小标宋_GBK" w:eastAsia="方正小标宋_GBK" w:cs="方正小标宋_GBK"/>
          <w:sz w:val="32"/>
          <w:szCs w:val="32"/>
        </w:rPr>
        <w:br w:type="page"/>
      </w:r>
    </w:p>
    <w:p w14:paraId="46F9BB88">
      <w:pPr>
        <w:jc w:val="center"/>
        <w:rPr>
          <w:rFonts w:ascii="方正小标宋_GBK" w:hAnsi="方正小标宋_GBK" w:eastAsia="方正小标宋_GBK" w:cs="方正小标宋_GBK"/>
          <w:sz w:val="32"/>
          <w:szCs w:val="32"/>
          <w:lang w:eastAsia="zh-TW"/>
        </w:rPr>
      </w:pPr>
      <w:r>
        <w:rPr>
          <w:rFonts w:hint="eastAsia" w:ascii="方正小标宋_GBK" w:hAnsi="方正小标宋_GBK" w:eastAsia="方正小标宋_GBK" w:cs="方正小标宋_GBK"/>
          <w:sz w:val="32"/>
          <w:szCs w:val="32"/>
        </w:rPr>
        <w:t xml:space="preserve">第二部分  </w:t>
      </w:r>
      <w:bookmarkEnd w:id="0"/>
      <w:bookmarkEnd w:id="1"/>
      <w:r>
        <w:rPr>
          <w:rFonts w:hint="eastAsia" w:ascii="方正小标宋_GBK" w:hAnsi="方正小标宋_GBK" w:eastAsia="方正小标宋_GBK" w:cs="方正小标宋_GBK"/>
          <w:sz w:val="32"/>
          <w:szCs w:val="32"/>
        </w:rPr>
        <w:t>比选流程</w:t>
      </w:r>
    </w:p>
    <w:p w14:paraId="50BF398D">
      <w:pPr>
        <w:spacing w:line="600" w:lineRule="exact"/>
        <w:ind w:firstLine="480"/>
        <w:rPr>
          <w:rFonts w:hint="eastAsia" w:ascii="方正黑体_GBK" w:hAnsi="方正黑体_GBK" w:eastAsia="方正黑体_GBK" w:cs="方正黑体_GBK"/>
          <w:color w:val="000000"/>
          <w:sz w:val="32"/>
          <w:szCs w:val="32"/>
        </w:rPr>
      </w:pPr>
    </w:p>
    <w:p w14:paraId="266E5CD7">
      <w:pPr>
        <w:spacing w:line="600" w:lineRule="exact"/>
        <w:ind w:firstLine="480"/>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一、参选供应商数量</w:t>
      </w:r>
    </w:p>
    <w:p w14:paraId="165BC7CE">
      <w:pPr>
        <w:pStyle w:val="20"/>
        <w:spacing w:line="600" w:lineRule="exact"/>
        <w:ind w:firstLine="640"/>
        <w:jc w:val="both"/>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rPr>
        <w:t>不论本次竞争性比选结果如何，编写、递交比选报价文件、参与比选过程相关的全部费用均由比选报价人自行承担，比选报价文件不予退还，比选报价人应对比选文件和比选报价文件中的内容负有保密义务。</w:t>
      </w:r>
      <w:r>
        <w:rPr>
          <w:rFonts w:hint="eastAsia" w:ascii="方正仿宋_GBK" w:hAnsi="方正仿宋_GBK" w:eastAsia="方正仿宋_GBK" w:cs="方正仿宋_GBK"/>
          <w:sz w:val="32"/>
          <w:szCs w:val="32"/>
          <w:highlight w:val="none"/>
        </w:rPr>
        <w:t>比选报价</w:t>
      </w:r>
      <w:r>
        <w:rPr>
          <w:rFonts w:hint="eastAsia" w:ascii="方正仿宋_GBK" w:hAnsi="方正仿宋_GBK" w:eastAsia="方正仿宋_GBK" w:cs="方正仿宋_GBK"/>
          <w:kern w:val="2"/>
          <w:sz w:val="32"/>
          <w:szCs w:val="32"/>
          <w:highlight w:val="none"/>
        </w:rPr>
        <w:t>人若少于3个，项目比选人评审小组可以按照比选文件继续评选。</w:t>
      </w:r>
    </w:p>
    <w:p w14:paraId="6A7D1EED">
      <w:pPr>
        <w:spacing w:line="600" w:lineRule="exact"/>
        <w:ind w:firstLine="480"/>
        <w:rPr>
          <w:rFonts w:ascii="方正黑体_GBK" w:hAnsi="方正黑体_GBK" w:eastAsia="方正黑体_GBK" w:cs="方正黑体_GBK"/>
          <w:color w:val="000000"/>
          <w:sz w:val="32"/>
          <w:szCs w:val="32"/>
          <w:lang w:val="zh-TW"/>
        </w:rPr>
      </w:pPr>
      <w:r>
        <w:rPr>
          <w:rFonts w:hint="eastAsia" w:ascii="方正黑体_GBK" w:hAnsi="方正黑体_GBK" w:eastAsia="方正黑体_GBK" w:cs="方正黑体_GBK"/>
          <w:color w:val="000000"/>
          <w:sz w:val="32"/>
          <w:szCs w:val="32"/>
        </w:rPr>
        <w:t>二、</w:t>
      </w:r>
      <w:r>
        <w:rPr>
          <w:rFonts w:hint="eastAsia" w:ascii="方正黑体_GBK" w:hAnsi="方正黑体_GBK" w:eastAsia="方正黑体_GBK" w:cs="方正黑体_GBK"/>
          <w:color w:val="000000"/>
          <w:sz w:val="32"/>
          <w:szCs w:val="32"/>
          <w:lang w:val="zh-TW" w:eastAsia="zh-CN"/>
        </w:rPr>
        <w:t>比选</w:t>
      </w:r>
      <w:r>
        <w:rPr>
          <w:rFonts w:hint="eastAsia" w:ascii="方正黑体_GBK" w:hAnsi="方正黑体_GBK" w:eastAsia="方正黑体_GBK" w:cs="方正黑体_GBK"/>
          <w:color w:val="000000"/>
          <w:sz w:val="32"/>
          <w:szCs w:val="32"/>
          <w:lang w:val="zh-TW"/>
        </w:rPr>
        <w:t>文件获取方式</w:t>
      </w:r>
    </w:p>
    <w:p w14:paraId="39DCAF7E">
      <w:pPr>
        <w:spacing w:line="600" w:lineRule="exact"/>
        <w:ind w:firstLine="640" w:firstLineChars="200"/>
        <w:rPr>
          <w:rFonts w:hint="eastAsia" w:ascii="方正仿宋_GBK" w:hAnsi="方正仿宋_GBK" w:eastAsia="方正仿宋_GBK" w:cs="方正仿宋_GBK"/>
          <w:color w:val="000000"/>
          <w:kern w:val="0"/>
          <w:sz w:val="32"/>
          <w:szCs w:val="32"/>
          <w:lang w:val="en-US" w:eastAsia="zh-CN" w:bidi="ar-SA"/>
        </w:rPr>
      </w:pPr>
      <w:r>
        <w:rPr>
          <w:rFonts w:hint="eastAsia" w:ascii="方正楷体_GBK" w:hAnsi="方正楷体_GBK" w:eastAsia="方正楷体_GBK" w:cs="方正楷体_GBK"/>
          <w:color w:val="000000"/>
          <w:kern w:val="0"/>
          <w:sz w:val="32"/>
          <w:szCs w:val="32"/>
          <w:lang w:val="en-US" w:eastAsia="zh-CN" w:bidi="ar-SA"/>
        </w:rPr>
        <w:t>（一）获取时间和地点：</w:t>
      </w:r>
      <w:r>
        <w:rPr>
          <w:rFonts w:hint="eastAsia" w:ascii="方正仿宋_GBK" w:hAnsi="方正仿宋_GBK" w:eastAsia="方正仿宋_GBK" w:cs="方正仿宋_GBK"/>
          <w:color w:val="000000"/>
          <w:kern w:val="0"/>
          <w:sz w:val="32"/>
          <w:szCs w:val="32"/>
          <w:lang w:val="en-US" w:eastAsia="zh-CN" w:bidi="ar-SA"/>
        </w:rPr>
        <w:t>请于</w:t>
      </w:r>
      <w:r>
        <w:rPr>
          <w:rFonts w:hint="eastAsia" w:ascii="Times New Roman" w:hAnsi="Times New Roman" w:eastAsia="方正仿宋_GBK" w:cs="方正仿宋_GBK"/>
          <w:color w:val="000000"/>
          <w:kern w:val="0"/>
          <w:sz w:val="32"/>
          <w:szCs w:val="32"/>
          <w:lang w:val="en-US" w:eastAsia="zh-CN" w:bidi="ar-SA"/>
        </w:rPr>
        <w:t>2025</w:t>
      </w:r>
      <w:r>
        <w:rPr>
          <w:rFonts w:hint="eastAsia" w:ascii="方正仿宋_GBK" w:hAnsi="方正仿宋_GBK" w:eastAsia="方正仿宋_GBK" w:cs="方正仿宋_GBK"/>
          <w:color w:val="000000"/>
          <w:kern w:val="0"/>
          <w:sz w:val="32"/>
          <w:szCs w:val="32"/>
          <w:highlight w:val="none"/>
          <w:lang w:val="en-US" w:eastAsia="zh-CN" w:bidi="ar-SA"/>
        </w:rPr>
        <w:t>年</w:t>
      </w:r>
      <w:r>
        <w:rPr>
          <w:rFonts w:hint="eastAsia" w:ascii="Times New Roman" w:hAnsi="Times New Roman" w:eastAsia="方正仿宋_GBK" w:cs="方正仿宋_GBK"/>
          <w:color w:val="000000"/>
          <w:kern w:val="0"/>
          <w:sz w:val="32"/>
          <w:szCs w:val="32"/>
          <w:highlight w:val="none"/>
          <w:lang w:val="en-US" w:eastAsia="zh-CN" w:bidi="ar-SA"/>
        </w:rPr>
        <w:t>9</w:t>
      </w:r>
      <w:r>
        <w:rPr>
          <w:rFonts w:hint="eastAsia" w:ascii="方正仿宋_GBK" w:hAnsi="方正仿宋_GBK" w:eastAsia="方正仿宋_GBK" w:cs="方正仿宋_GBK"/>
          <w:color w:val="000000"/>
          <w:kern w:val="0"/>
          <w:sz w:val="32"/>
          <w:szCs w:val="32"/>
          <w:highlight w:val="none"/>
          <w:lang w:val="en-US" w:eastAsia="zh-CN" w:bidi="ar-SA"/>
        </w:rPr>
        <w:t>月</w:t>
      </w:r>
      <w:r>
        <w:rPr>
          <w:rFonts w:hint="eastAsia" w:ascii="Times New Roman" w:hAnsi="Times New Roman" w:eastAsia="方正仿宋_GBK" w:cs="方正仿宋_GBK"/>
          <w:color w:val="000000"/>
          <w:kern w:val="0"/>
          <w:sz w:val="32"/>
          <w:szCs w:val="32"/>
          <w:highlight w:val="none"/>
          <w:lang w:val="en-US" w:eastAsia="zh-CN" w:bidi="ar-SA"/>
        </w:rPr>
        <w:t>9</w:t>
      </w:r>
      <w:r>
        <w:rPr>
          <w:rFonts w:hint="eastAsia" w:ascii="方正仿宋_GBK" w:hAnsi="方正仿宋_GBK" w:eastAsia="方正仿宋_GBK" w:cs="方正仿宋_GBK"/>
          <w:color w:val="000000"/>
          <w:kern w:val="0"/>
          <w:sz w:val="32"/>
          <w:szCs w:val="32"/>
          <w:highlight w:val="none"/>
          <w:lang w:val="en-US" w:eastAsia="zh-CN" w:bidi="ar-SA"/>
        </w:rPr>
        <w:t>日</w:t>
      </w:r>
      <w:r>
        <w:rPr>
          <w:rFonts w:hint="eastAsia" w:ascii="方正仿宋_GBK" w:hAnsi="方正仿宋_GBK" w:eastAsia="方正仿宋_GBK" w:cs="方正仿宋_GBK"/>
          <w:color w:val="000000"/>
          <w:kern w:val="0"/>
          <w:sz w:val="32"/>
          <w:szCs w:val="32"/>
          <w:lang w:val="en-US" w:eastAsia="zh-CN" w:bidi="ar-SA"/>
        </w:rPr>
        <w:t>起，在“重庆旅投景典房地产开发有限公司官网（www.cqltjddc.com)”下载。</w:t>
      </w:r>
    </w:p>
    <w:p w14:paraId="74EC5710">
      <w:pPr>
        <w:spacing w:line="600" w:lineRule="exact"/>
        <w:ind w:firstLine="640" w:firstLineChars="200"/>
        <w:rPr>
          <w:rFonts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kern w:val="0"/>
          <w:sz w:val="32"/>
          <w:szCs w:val="32"/>
          <w:lang w:val="en-US" w:eastAsia="zh-CN" w:bidi="ar-SA"/>
        </w:rPr>
        <w:t>（二）其他相关信息获取：</w:t>
      </w:r>
      <w:r>
        <w:rPr>
          <w:rFonts w:hint="eastAsia" w:ascii="方正仿宋_GBK" w:hAnsi="方正仿宋_GBK" w:eastAsia="方正仿宋_GBK" w:cs="方正仿宋_GBK"/>
          <w:color w:val="000000"/>
          <w:kern w:val="0"/>
          <w:sz w:val="32"/>
          <w:szCs w:val="32"/>
          <w:lang w:val="en-US" w:eastAsia="zh-CN" w:bidi="ar-SA"/>
        </w:rPr>
        <w:t>公告发布之日起至投标文件递交截止时间止，各投标人应随时关注“重庆旅投景典房地产开发有限公司官网（www.cqltjddc.com)”发布的有关本询比项目的补遗(澄清)文件等一切信息。无论投标人下载与否，均视为投标人已全部知晓有关项目比选的所有事宜。</w:t>
      </w:r>
    </w:p>
    <w:p w14:paraId="0B5FA77B">
      <w:pPr>
        <w:spacing w:line="600" w:lineRule="exact"/>
        <w:ind w:firstLine="640" w:firstLineChars="200"/>
        <w:rPr>
          <w:rFonts w:ascii="Times New Roman" w:hAnsi="Times New Roman" w:eastAsia="方正楷体_GBK" w:cs="方正楷体_GBK"/>
          <w:sz w:val="32"/>
          <w:szCs w:val="32"/>
        </w:rPr>
      </w:pPr>
      <w:bookmarkStart w:id="2" w:name="_Toc115076733"/>
      <w:bookmarkStart w:id="3" w:name="_Toc5737"/>
      <w:r>
        <w:rPr>
          <w:rFonts w:hint="eastAsia" w:ascii="方正黑体_GBK" w:hAnsi="方正黑体_GBK" w:eastAsia="方正黑体_GBK" w:cs="方正黑体_GBK"/>
          <w:color w:val="000000"/>
          <w:sz w:val="32"/>
          <w:szCs w:val="32"/>
          <w:lang w:eastAsia="zh-CN"/>
        </w:rPr>
        <w:t>三</w:t>
      </w:r>
      <w:r>
        <w:rPr>
          <w:rFonts w:hint="eastAsia" w:ascii="方正黑体_GBK" w:hAnsi="方正黑体_GBK" w:eastAsia="方正黑体_GBK" w:cs="方正黑体_GBK"/>
          <w:color w:val="000000"/>
          <w:sz w:val="32"/>
          <w:szCs w:val="32"/>
        </w:rPr>
        <w:t>、响应文件的递交</w:t>
      </w:r>
    </w:p>
    <w:p w14:paraId="5136C260">
      <w:pPr>
        <w:adjustRightInd w:val="0"/>
        <w:snapToGrid w:val="0"/>
        <w:spacing w:line="600" w:lineRule="exact"/>
        <w:ind w:firstLine="640" w:firstLineChars="2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rPr>
        <w:t>1.递交截止时间：2025年</w:t>
      </w:r>
      <w:r>
        <w:rPr>
          <w:rFonts w:hint="eastAsia" w:ascii="Times New Roman" w:hAnsi="Times New Roman" w:eastAsia="方正仿宋_GBK" w:cs="方正仿宋_GBK"/>
          <w:sz w:val="32"/>
          <w:szCs w:val="32"/>
          <w:lang w:val="en-US" w:eastAsia="zh-CN"/>
        </w:rPr>
        <w:t>9</w:t>
      </w:r>
      <w:bookmarkStart w:id="34" w:name="_GoBack"/>
      <w:bookmarkEnd w:id="34"/>
      <w:r>
        <w:rPr>
          <w:rFonts w:hint="eastAsia" w:ascii="Times New Roman" w:hAnsi="Times New Roman" w:eastAsia="方正仿宋_GBK" w:cs="方正仿宋_GBK"/>
          <w:sz w:val="32"/>
          <w:szCs w:val="32"/>
        </w:rPr>
        <w:t>月</w:t>
      </w:r>
      <w:r>
        <w:rPr>
          <w:rFonts w:hint="eastAsia" w:ascii="Times New Roman" w:hAnsi="Times New Roman" w:eastAsia="方正仿宋_GBK" w:cs="方正仿宋_GBK"/>
          <w:sz w:val="32"/>
          <w:szCs w:val="32"/>
          <w:lang w:val="en-US" w:eastAsia="zh-CN"/>
        </w:rPr>
        <w:t>12</w:t>
      </w:r>
      <w:r>
        <w:rPr>
          <w:rFonts w:hint="eastAsia" w:ascii="Times New Roman" w:hAnsi="Times New Roman" w:eastAsia="方正仿宋_GBK" w:cs="方正仿宋_GBK"/>
          <w:sz w:val="32"/>
          <w:szCs w:val="32"/>
        </w:rPr>
        <w:t>日</w:t>
      </w:r>
      <w:r>
        <w:rPr>
          <w:rFonts w:hint="eastAsia" w:ascii="Times New Roman" w:hAnsi="Times New Roman" w:eastAsia="方正仿宋_GBK" w:cs="方正仿宋_GBK"/>
          <w:sz w:val="32"/>
          <w:szCs w:val="32"/>
          <w:highlight w:val="none"/>
        </w:rPr>
        <w:t>北京时间</w:t>
      </w:r>
      <w:r>
        <w:rPr>
          <w:rFonts w:hint="eastAsia" w:ascii="Times New Roman" w:hAnsi="Times New Roman" w:eastAsia="方正仿宋_GBK" w:cs="方正仿宋_GBK"/>
          <w:sz w:val="32"/>
          <w:szCs w:val="32"/>
          <w:highlight w:val="none"/>
          <w:lang w:val="en-US" w:eastAsia="zh-CN"/>
        </w:rPr>
        <w:t>10时3</w:t>
      </w:r>
      <w:r>
        <w:rPr>
          <w:rFonts w:hint="eastAsia" w:ascii="Times New Roman" w:hAnsi="Times New Roman" w:eastAsia="方正仿宋_GBK" w:cs="方正仿宋_GBK"/>
          <w:sz w:val="32"/>
          <w:szCs w:val="32"/>
          <w:highlight w:val="none"/>
        </w:rPr>
        <w:t>0分</w:t>
      </w:r>
      <w:r>
        <w:rPr>
          <w:rFonts w:hint="eastAsia" w:ascii="Times New Roman" w:hAnsi="Times New Roman" w:eastAsia="方正仿宋_GBK" w:cs="方正仿宋_GBK"/>
          <w:sz w:val="32"/>
          <w:szCs w:val="32"/>
          <w:highlight w:val="none"/>
          <w:lang w:eastAsia="zh-CN"/>
        </w:rPr>
        <w:t>。</w:t>
      </w:r>
    </w:p>
    <w:p w14:paraId="6BA39F8E">
      <w:pPr>
        <w:adjustRightInd w:val="0"/>
        <w:snapToGrid w:val="0"/>
        <w:spacing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2.递交地点：</w:t>
      </w:r>
      <w:r>
        <w:rPr>
          <w:rFonts w:hint="eastAsia" w:ascii="方正仿宋_GBK" w:hAnsi="方正仿宋_GBK" w:eastAsia="方正仿宋_GBK" w:cs="方正仿宋_GBK"/>
          <w:sz w:val="32"/>
          <w:szCs w:val="32"/>
          <w:lang w:val="en-US" w:eastAsia="zh-CN"/>
        </w:rPr>
        <w:t>重庆市渝北区星光五路3号中兴综合楼2栋2楼A区</w:t>
      </w:r>
      <w:r>
        <w:rPr>
          <w:rFonts w:hint="eastAsia" w:ascii="Times New Roman" w:hAnsi="Times New Roman" w:eastAsia="方正仿宋_GBK" w:cs="方正仿宋_GBK"/>
          <w:sz w:val="32"/>
          <w:szCs w:val="32"/>
          <w:lang w:val="en-US" w:eastAsia="zh-CN"/>
        </w:rPr>
        <w:t>2011办公室</w:t>
      </w:r>
      <w:r>
        <w:rPr>
          <w:rFonts w:hint="eastAsia" w:ascii="Times New Roman" w:hAnsi="Times New Roman" w:eastAsia="方正仿宋_GBK" w:cs="方正仿宋_GBK"/>
          <w:sz w:val="32"/>
          <w:szCs w:val="32"/>
        </w:rPr>
        <w:t>。（可邮寄相应文件，日期以快递送达之日为准，在截止时间之后送达无效。）</w:t>
      </w:r>
    </w:p>
    <w:p w14:paraId="75DE679B">
      <w:pPr>
        <w:adjustRightInd w:val="0"/>
        <w:snapToGrid w:val="0"/>
        <w:spacing w:line="60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3.逾期送达或未送达到指定地点的响应文件，采购人将不予受理。</w:t>
      </w:r>
    </w:p>
    <w:p w14:paraId="64BA5C46">
      <w:pPr>
        <w:adjustRightInd w:val="0"/>
        <w:snapToGrid w:val="0"/>
        <w:spacing w:line="600" w:lineRule="exact"/>
        <w:ind w:firstLine="640" w:firstLineChars="2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4.开标时间同投标文件递交截止时间。</w:t>
      </w:r>
    </w:p>
    <w:p w14:paraId="5FCF0742">
      <w:pPr>
        <w:spacing w:line="600" w:lineRule="exact"/>
        <w:ind w:firstLine="640" w:firstLineChars="200"/>
        <w:rPr>
          <w:rFonts w:hint="eastAsia" w:ascii="Times New Roman" w:hAnsi="Times New Roman" w:eastAsia="方正仿宋_GBK" w:cs="方正楷体_GBK"/>
          <w:sz w:val="32"/>
          <w:szCs w:val="32"/>
          <w:lang w:eastAsia="zh-CN"/>
        </w:rPr>
      </w:pPr>
      <w:bookmarkStart w:id="4" w:name="_Toc446076845"/>
      <w:r>
        <w:rPr>
          <w:rFonts w:hint="eastAsia" w:ascii="Times New Roman" w:hAnsi="Times New Roman" w:eastAsia="方正楷体_GBK" w:cs="方正楷体_GBK"/>
          <w:sz w:val="32"/>
          <w:szCs w:val="32"/>
          <w:lang w:val="en-US" w:eastAsia="zh-CN"/>
        </w:rPr>
        <w:t>5</w:t>
      </w:r>
      <w:r>
        <w:rPr>
          <w:rFonts w:hint="eastAsia" w:ascii="Times New Roman" w:hAnsi="Times New Roman" w:eastAsia="方正楷体_GBK" w:cs="方正楷体_GBK"/>
          <w:sz w:val="32"/>
          <w:szCs w:val="32"/>
        </w:rPr>
        <w:t>.</w:t>
      </w:r>
      <w:r>
        <w:rPr>
          <w:rFonts w:hint="eastAsia" w:ascii="方正仿宋_GBK" w:hAnsi="方正仿宋_GBK" w:eastAsia="方正仿宋_GBK" w:cs="方正仿宋_GBK"/>
          <w:sz w:val="32"/>
          <w:szCs w:val="32"/>
        </w:rPr>
        <w:t>联系方式</w:t>
      </w:r>
      <w:bookmarkEnd w:id="4"/>
      <w:r>
        <w:rPr>
          <w:rFonts w:hint="eastAsia" w:ascii="方正仿宋_GBK" w:hAnsi="方正仿宋_GBK" w:eastAsia="方正仿宋_GBK" w:cs="方正仿宋_GBK"/>
          <w:sz w:val="32"/>
          <w:szCs w:val="32"/>
          <w:lang w:eastAsia="zh-CN"/>
        </w:rPr>
        <w:t>：</w:t>
      </w:r>
    </w:p>
    <w:p w14:paraId="78A073F4">
      <w:pPr>
        <w:adjustRightInd w:val="0"/>
        <w:snapToGrid w:val="0"/>
        <w:spacing w:line="600" w:lineRule="exact"/>
        <w:ind w:firstLine="640" w:firstLineChars="200"/>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采购人：</w:t>
      </w:r>
      <w:r>
        <w:rPr>
          <w:rFonts w:hint="eastAsia" w:ascii="Times New Roman" w:hAnsi="Times New Roman" w:eastAsia="方正仿宋_GBK" w:cs="方正仿宋_GBK"/>
          <w:sz w:val="32"/>
          <w:szCs w:val="32"/>
          <w:lang w:eastAsia="zh-CN"/>
        </w:rPr>
        <w:t>重庆旅投景典房地产开发有限公司</w:t>
      </w:r>
    </w:p>
    <w:p w14:paraId="77B2D920">
      <w:pPr>
        <w:adjustRightInd w:val="0"/>
        <w:snapToGrid w:val="0"/>
        <w:spacing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地  址：</w:t>
      </w:r>
      <w:r>
        <w:rPr>
          <w:rFonts w:hint="eastAsia" w:ascii="方正仿宋_GBK" w:hAnsi="方正仿宋_GBK" w:eastAsia="方正仿宋_GBK" w:cs="方正仿宋_GBK"/>
          <w:sz w:val="32"/>
          <w:szCs w:val="32"/>
          <w:lang w:val="en-US" w:eastAsia="zh-CN"/>
        </w:rPr>
        <w:t>重庆市渝北区星光五路3号中兴综合楼2栋2楼A区</w:t>
      </w:r>
      <w:r>
        <w:rPr>
          <w:rFonts w:hint="eastAsia" w:ascii="Times New Roman" w:hAnsi="Times New Roman" w:eastAsia="方正仿宋_GBK" w:cs="方正仿宋_GBK"/>
          <w:sz w:val="32"/>
          <w:szCs w:val="32"/>
          <w:lang w:val="en-US" w:eastAsia="zh-CN"/>
        </w:rPr>
        <w:t>2011办公室</w:t>
      </w:r>
    </w:p>
    <w:p w14:paraId="1314AFEA">
      <w:pPr>
        <w:adjustRightInd w:val="0"/>
        <w:snapToGrid w:val="0"/>
        <w:spacing w:line="600" w:lineRule="exact"/>
        <w:ind w:firstLine="640" w:firstLineChars="200"/>
        <w:rPr>
          <w:rFonts w:hint="default" w:ascii="Times New Roman" w:hAnsi="Times New Roman" w:eastAsia="仿宋" w:cs="方正仿宋_GBK"/>
          <w:sz w:val="32"/>
          <w:szCs w:val="32"/>
          <w:lang w:val="en-US" w:eastAsia="zh-CN"/>
        </w:rPr>
      </w:pPr>
      <w:r>
        <w:rPr>
          <w:rFonts w:hint="eastAsia" w:ascii="Times New Roman" w:hAnsi="Times New Roman" w:eastAsia="仿宋" w:cs="方正仿宋_GBK"/>
          <w:sz w:val="32"/>
          <w:szCs w:val="32"/>
        </w:rPr>
        <w:t>联系人：</w:t>
      </w:r>
      <w:r>
        <w:rPr>
          <w:rFonts w:hint="eastAsia" w:ascii="Times New Roman" w:hAnsi="Times New Roman" w:eastAsia="仿宋" w:cs="方正仿宋_GBK"/>
          <w:sz w:val="32"/>
          <w:szCs w:val="32"/>
          <w:lang w:eastAsia="zh-CN"/>
        </w:rPr>
        <w:t>朱</w:t>
      </w:r>
      <w:r>
        <w:rPr>
          <w:rFonts w:hint="eastAsia" w:ascii="Times New Roman" w:hAnsi="Times New Roman" w:eastAsia="仿宋" w:cs="方正仿宋_GBK"/>
          <w:sz w:val="32"/>
          <w:szCs w:val="32"/>
        </w:rPr>
        <w:t>女士，联系电话：023-670</w:t>
      </w:r>
      <w:r>
        <w:rPr>
          <w:rFonts w:hint="eastAsia" w:ascii="Times New Roman" w:hAnsi="Times New Roman" w:eastAsia="仿宋" w:cs="方正仿宋_GBK"/>
          <w:sz w:val="32"/>
          <w:szCs w:val="32"/>
          <w:lang w:val="en-US" w:eastAsia="zh-CN"/>
        </w:rPr>
        <w:t>62077</w:t>
      </w:r>
    </w:p>
    <w:p w14:paraId="68C83A73">
      <w:pPr>
        <w:pStyle w:val="20"/>
        <w:spacing w:line="600" w:lineRule="exact"/>
        <w:ind w:firstLine="640"/>
        <w:rPr>
          <w:rFonts w:ascii="Times New Roman" w:hAnsi="Times New Roman" w:eastAsia="仿宋" w:cs="方正仿宋_GBK"/>
          <w:b/>
          <w:bCs/>
          <w:sz w:val="32"/>
          <w:szCs w:val="32"/>
        </w:rPr>
      </w:pPr>
      <w:r>
        <w:rPr>
          <w:rFonts w:hint="eastAsia" w:ascii="Times New Roman" w:hAnsi="Times New Roman" w:eastAsia="方正楷体_GBK" w:cs="方正楷体_GBK"/>
          <w:color w:val="auto"/>
          <w:kern w:val="2"/>
          <w:sz w:val="32"/>
          <w:szCs w:val="32"/>
          <w:lang w:val="en-US" w:eastAsia="zh-CN"/>
        </w:rPr>
        <w:t>6</w:t>
      </w:r>
      <w:r>
        <w:rPr>
          <w:rFonts w:hint="eastAsia" w:ascii="Times New Roman" w:hAnsi="Times New Roman" w:eastAsia="方正楷体_GBK" w:cs="方正楷体_GBK"/>
          <w:color w:val="auto"/>
          <w:kern w:val="2"/>
          <w:sz w:val="32"/>
          <w:szCs w:val="32"/>
        </w:rPr>
        <w:t>.份数要求</w:t>
      </w:r>
      <w:r>
        <w:rPr>
          <w:rFonts w:hint="eastAsia" w:ascii="Times New Roman" w:hAnsi="Times New Roman" w:eastAsia="仿宋" w:cs="方正仿宋_GBK"/>
          <w:color w:val="auto"/>
          <w:kern w:val="2"/>
          <w:sz w:val="32"/>
          <w:szCs w:val="32"/>
          <w:lang w:val="en-US" w:eastAsia="zh-CN" w:bidi="ar-SA"/>
        </w:rPr>
        <w:t>：共1份。</w:t>
      </w:r>
    </w:p>
    <w:bookmarkEnd w:id="2"/>
    <w:bookmarkEnd w:id="3"/>
    <w:p w14:paraId="76F799AB">
      <w:pPr>
        <w:widowControl/>
        <w:spacing w:line="580" w:lineRule="exact"/>
        <w:ind w:firstLine="640" w:firstLineChars="200"/>
        <w:outlineLvl w:val="0"/>
        <w:rPr>
          <w:rFonts w:ascii="方正黑体_GBK" w:hAnsi="方正黑体_GBK" w:eastAsia="方正黑体_GBK" w:cs="方正黑体_GBK"/>
          <w:color w:val="000000"/>
          <w:sz w:val="32"/>
          <w:szCs w:val="32"/>
        </w:rPr>
      </w:pPr>
      <w:bookmarkStart w:id="5" w:name="_Toc115076734"/>
      <w:bookmarkStart w:id="6" w:name="_Toc25568"/>
      <w:r>
        <w:rPr>
          <w:rFonts w:hint="eastAsia" w:ascii="方正黑体_GBK" w:hAnsi="方正黑体_GBK" w:eastAsia="方正黑体_GBK" w:cs="方正黑体_GBK"/>
          <w:color w:val="000000"/>
          <w:sz w:val="32"/>
          <w:szCs w:val="32"/>
          <w:lang w:val="en-US" w:eastAsia="zh-CN"/>
        </w:rPr>
        <w:t>四</w:t>
      </w:r>
      <w:r>
        <w:rPr>
          <w:rFonts w:hint="eastAsia" w:ascii="方正黑体_GBK" w:hAnsi="方正黑体_GBK" w:eastAsia="方正黑体_GBK" w:cs="方正黑体_GBK"/>
          <w:color w:val="000000"/>
          <w:sz w:val="32"/>
          <w:szCs w:val="32"/>
        </w:rPr>
        <w:t>、比选流程</w:t>
      </w:r>
      <w:bookmarkEnd w:id="5"/>
      <w:bookmarkEnd w:id="6"/>
    </w:p>
    <w:p w14:paraId="6F0E6986">
      <w:pPr>
        <w:widowControl/>
        <w:spacing w:line="580" w:lineRule="exact"/>
        <w:ind w:firstLine="640" w:firstLineChars="200"/>
        <w:outlineLvl w:val="0"/>
        <w:rPr>
          <w:rFonts w:eastAsia="方正仿宋_GBK"/>
          <w:sz w:val="32"/>
          <w:szCs w:val="32"/>
        </w:rPr>
      </w:pPr>
      <w:r>
        <w:rPr>
          <w:rFonts w:hint="eastAsia" w:ascii="方正仿宋_GBK" w:hAnsi="方正仿宋_GBK" w:eastAsia="方正仿宋_GBK" w:cs="方正仿宋_GBK"/>
          <w:color w:val="000000"/>
          <w:sz w:val="32"/>
          <w:szCs w:val="32"/>
        </w:rPr>
        <w:t>本次比选</w:t>
      </w:r>
      <w:r>
        <w:rPr>
          <w:rFonts w:hint="eastAsia" w:ascii="方正仿宋_GBK" w:hAnsi="方正仿宋_GBK" w:eastAsia="方正仿宋_GBK" w:cs="方正仿宋_GBK"/>
          <w:color w:val="000000"/>
          <w:sz w:val="32"/>
          <w:szCs w:val="32"/>
          <w:lang w:val="zh-TW" w:eastAsia="zh-TW"/>
        </w:rPr>
        <w:t>由</w:t>
      </w:r>
      <w:r>
        <w:rPr>
          <w:rFonts w:hint="eastAsia" w:ascii="方正仿宋_GBK" w:hAnsi="方正仿宋_GBK" w:eastAsia="方正仿宋_GBK" w:cs="方正仿宋_GBK"/>
          <w:color w:val="000000"/>
          <w:sz w:val="32"/>
          <w:szCs w:val="32"/>
        </w:rPr>
        <w:t>比选人按照</w:t>
      </w:r>
      <w:r>
        <w:rPr>
          <w:rFonts w:hint="eastAsia" w:eastAsia="方正仿宋_GBK"/>
          <w:color w:val="000000"/>
          <w:sz w:val="32"/>
          <w:szCs w:val="32"/>
          <w:lang w:eastAsia="zh-CN"/>
        </w:rPr>
        <w:t>重庆旅投景典房地产开发有限公司</w:t>
      </w:r>
      <w:r>
        <w:rPr>
          <w:rFonts w:hint="eastAsia" w:eastAsia="方正仿宋_GBK"/>
          <w:color w:val="000000"/>
          <w:sz w:val="32"/>
          <w:szCs w:val="32"/>
        </w:rPr>
        <w:t>相关管理程序办理，按照评分规则进行比选，</w:t>
      </w:r>
      <w:r>
        <w:rPr>
          <w:rFonts w:hint="eastAsia" w:ascii="方正仿宋_GBK" w:hAnsi="方正仿宋_GBK" w:eastAsia="方正仿宋_GBK" w:cs="方正仿宋_GBK"/>
          <w:sz w:val="32"/>
          <w:szCs w:val="32"/>
        </w:rPr>
        <w:t>投标人无须参加</w:t>
      </w:r>
      <w:r>
        <w:rPr>
          <w:rFonts w:hint="eastAsia" w:eastAsia="方正仿宋_GBK"/>
          <w:color w:val="000000"/>
          <w:sz w:val="32"/>
          <w:szCs w:val="32"/>
        </w:rPr>
        <w:t>。</w:t>
      </w:r>
    </w:p>
    <w:p w14:paraId="699D881A">
      <w:pPr>
        <w:spacing w:line="580" w:lineRule="exact"/>
        <w:ind w:firstLine="640" w:firstLineChars="200"/>
        <w:outlineLvl w:val="0"/>
        <w:rPr>
          <w:rFonts w:ascii="方正黑体_GBK" w:hAnsi="方正黑体_GBK" w:eastAsia="方正黑体_GBK" w:cs="方正黑体_GBK"/>
          <w:sz w:val="32"/>
          <w:szCs w:val="32"/>
          <w:u w:color="000000"/>
        </w:rPr>
      </w:pPr>
      <w:bookmarkStart w:id="7" w:name="_Toc115076735"/>
      <w:r>
        <w:rPr>
          <w:rFonts w:hint="eastAsia" w:ascii="方正黑体_GBK" w:hAnsi="方正黑体_GBK" w:eastAsia="方正黑体_GBK" w:cs="方正黑体_GBK"/>
          <w:sz w:val="32"/>
          <w:szCs w:val="32"/>
          <w:u w:color="000000"/>
          <w:lang w:val="en-US" w:eastAsia="zh-CN"/>
        </w:rPr>
        <w:t>五</w:t>
      </w:r>
      <w:r>
        <w:rPr>
          <w:rFonts w:hint="eastAsia" w:ascii="方正黑体_GBK" w:hAnsi="方正黑体_GBK" w:eastAsia="方正黑体_GBK" w:cs="方正黑体_GBK"/>
          <w:sz w:val="32"/>
          <w:szCs w:val="32"/>
          <w:u w:color="000000"/>
        </w:rPr>
        <w:t>、评分规则</w:t>
      </w:r>
      <w:bookmarkEnd w:id="7"/>
    </w:p>
    <w:p w14:paraId="36ED43E8">
      <w:pPr>
        <w:pStyle w:val="13"/>
        <w:spacing w:before="0" w:after="0" w:line="580" w:lineRule="exact"/>
        <w:ind w:firstLine="640" w:firstLineChars="200"/>
        <w:jc w:val="both"/>
        <w:outlineLvl w:val="9"/>
        <w:rPr>
          <w:rFonts w:hint="eastAsia" w:ascii="Times New Roman" w:hAnsi="Times New Roman" w:eastAsia="方正仿宋_GBK" w:cs="Times New Roman"/>
          <w:b w:val="0"/>
          <w:bCs w:val="0"/>
          <w:color w:val="000000"/>
          <w:sz w:val="32"/>
          <w:lang w:eastAsia="zh-CN"/>
        </w:rPr>
      </w:pPr>
      <w:r>
        <w:rPr>
          <w:rFonts w:hint="eastAsia" w:ascii="Times New Roman" w:hAnsi="Times New Roman" w:eastAsia="方正仿宋_GBK" w:cs="Times New Roman"/>
          <w:b w:val="0"/>
          <w:bCs w:val="0"/>
          <w:color w:val="000000"/>
          <w:sz w:val="32"/>
        </w:rPr>
        <w:t>见第三部分具体标项评分规则约定</w:t>
      </w:r>
      <w:r>
        <w:rPr>
          <w:rFonts w:hint="eastAsia" w:ascii="Times New Roman" w:hAnsi="Times New Roman" w:eastAsia="方正仿宋_GBK" w:cs="Times New Roman"/>
          <w:b w:val="0"/>
          <w:bCs w:val="0"/>
          <w:color w:val="000000"/>
          <w:sz w:val="32"/>
          <w:lang w:eastAsia="zh-CN"/>
        </w:rPr>
        <w:t>。</w:t>
      </w:r>
    </w:p>
    <w:p w14:paraId="6878ABB2">
      <w:pPr>
        <w:spacing w:line="580" w:lineRule="exact"/>
        <w:ind w:firstLine="640" w:firstLineChars="200"/>
        <w:outlineLvl w:val="0"/>
        <w:rPr>
          <w:rFonts w:ascii="方正黑体_GBK" w:hAnsi="方正黑体_GBK" w:eastAsia="方正黑体_GBK" w:cs="方正黑体_GBK"/>
          <w:sz w:val="32"/>
          <w:szCs w:val="32"/>
          <w:u w:color="000000"/>
        </w:rPr>
      </w:pPr>
      <w:bookmarkStart w:id="8" w:name="_Toc115076736"/>
      <w:bookmarkStart w:id="9" w:name="_Toc838"/>
      <w:r>
        <w:rPr>
          <w:rFonts w:hint="eastAsia" w:ascii="方正黑体_GBK" w:hAnsi="方正黑体_GBK" w:eastAsia="方正黑体_GBK" w:cs="方正黑体_GBK"/>
          <w:sz w:val="32"/>
          <w:szCs w:val="32"/>
          <w:u w:color="000000"/>
          <w:lang w:eastAsia="zh-CN"/>
        </w:rPr>
        <w:t>六</w:t>
      </w:r>
      <w:r>
        <w:rPr>
          <w:rFonts w:hint="eastAsia" w:ascii="方正黑体_GBK" w:hAnsi="方正黑体_GBK" w:eastAsia="方正黑体_GBK" w:cs="方正黑体_GBK"/>
          <w:sz w:val="32"/>
          <w:szCs w:val="32"/>
          <w:u w:color="000000"/>
        </w:rPr>
        <w:t>、确定比选结果</w:t>
      </w:r>
      <w:bookmarkEnd w:id="8"/>
      <w:bookmarkEnd w:id="9"/>
    </w:p>
    <w:p w14:paraId="29983325">
      <w:pPr>
        <w:snapToGrid w:val="0"/>
        <w:spacing w:line="580" w:lineRule="exact"/>
        <w:ind w:right="71" w:rightChars="34" w:firstLine="646" w:firstLineChars="202"/>
        <w:jc w:val="left"/>
        <w:rPr>
          <w:rFonts w:eastAsia="方正仿宋_GBK"/>
          <w:color w:val="000000"/>
          <w:sz w:val="32"/>
          <w:szCs w:val="32"/>
        </w:rPr>
      </w:pPr>
      <w:r>
        <w:rPr>
          <w:rFonts w:eastAsia="方正仿宋_GBK"/>
          <w:color w:val="000000"/>
          <w:sz w:val="32"/>
          <w:szCs w:val="32"/>
        </w:rPr>
        <w:t>评委</w:t>
      </w:r>
      <w:r>
        <w:rPr>
          <w:rFonts w:hint="eastAsia" w:eastAsia="方正仿宋_GBK"/>
          <w:color w:val="000000"/>
          <w:sz w:val="32"/>
          <w:szCs w:val="32"/>
        </w:rPr>
        <w:t>评</w:t>
      </w:r>
      <w:r>
        <w:rPr>
          <w:rFonts w:eastAsia="方正仿宋_GBK"/>
          <w:color w:val="000000"/>
          <w:sz w:val="32"/>
          <w:szCs w:val="32"/>
        </w:rPr>
        <w:t>分不设置权重，</w:t>
      </w:r>
      <w:r>
        <w:rPr>
          <w:rFonts w:hint="eastAsia" w:eastAsia="方正仿宋_GBK"/>
          <w:color w:val="000000"/>
          <w:sz w:val="32"/>
          <w:szCs w:val="32"/>
        </w:rPr>
        <w:t>参</w:t>
      </w:r>
      <w:r>
        <w:rPr>
          <w:rFonts w:eastAsia="方正仿宋_GBK"/>
          <w:color w:val="000000"/>
          <w:sz w:val="32"/>
          <w:szCs w:val="32"/>
        </w:rPr>
        <w:t>选机构最终得分为评委</w:t>
      </w:r>
      <w:r>
        <w:rPr>
          <w:rFonts w:hint="eastAsia" w:eastAsia="方正仿宋_GBK"/>
          <w:color w:val="000000"/>
          <w:sz w:val="32"/>
          <w:szCs w:val="32"/>
        </w:rPr>
        <w:t>评</w:t>
      </w:r>
      <w:r>
        <w:rPr>
          <w:rFonts w:eastAsia="方正仿宋_GBK"/>
          <w:color w:val="000000"/>
          <w:sz w:val="32"/>
          <w:szCs w:val="32"/>
        </w:rPr>
        <w:t>分的算术平均分，</w:t>
      </w:r>
      <w:r>
        <w:rPr>
          <w:rFonts w:hint="eastAsia" w:eastAsia="方正仿宋_GBK"/>
          <w:color w:val="000000"/>
          <w:sz w:val="32"/>
          <w:szCs w:val="32"/>
        </w:rPr>
        <w:t>得分最高的为中选机构。</w:t>
      </w:r>
      <w:r>
        <w:rPr>
          <w:rFonts w:eastAsia="方正仿宋_GBK"/>
          <w:color w:val="000000"/>
          <w:sz w:val="32"/>
          <w:szCs w:val="32"/>
        </w:rPr>
        <w:t>得分相同的情形下，按</w:t>
      </w:r>
      <w:r>
        <w:rPr>
          <w:rFonts w:hint="eastAsia" w:eastAsia="方正仿宋_GBK"/>
          <w:color w:val="000000"/>
          <w:sz w:val="32"/>
          <w:szCs w:val="32"/>
        </w:rPr>
        <w:t>量化指标得分高低进行比较，得分高的，确定为中选机构。如得分仍一致的，参选机构可进行补充说明，由比选小组集体讨论后确定中选机构。</w:t>
      </w:r>
      <w:r>
        <w:rPr>
          <w:rFonts w:eastAsia="方正仿宋_GBK"/>
          <w:color w:val="000000"/>
          <w:sz w:val="32"/>
          <w:szCs w:val="32"/>
        </w:rPr>
        <w:t>如排名第一的中选候选人放弃中选或因不可抗力提出不能履行合同，比选人可以依排名顺序确定替补中选人。</w:t>
      </w:r>
    </w:p>
    <w:p w14:paraId="1D84BDD5">
      <w:pPr>
        <w:spacing w:line="580" w:lineRule="exact"/>
        <w:ind w:firstLine="640" w:firstLineChars="200"/>
        <w:outlineLvl w:val="0"/>
        <w:rPr>
          <w:rFonts w:ascii="方正黑体_GBK" w:hAnsi="方正黑体_GBK" w:eastAsia="方正黑体_GBK" w:cs="方正黑体_GBK"/>
          <w:sz w:val="32"/>
          <w:szCs w:val="32"/>
          <w:u w:color="000000"/>
        </w:rPr>
      </w:pPr>
      <w:bookmarkStart w:id="10" w:name="_Toc115076737"/>
      <w:bookmarkStart w:id="11" w:name="_Toc25696"/>
      <w:r>
        <w:rPr>
          <w:rFonts w:hint="eastAsia" w:ascii="方正黑体_GBK" w:hAnsi="方正黑体_GBK" w:eastAsia="方正黑体_GBK" w:cs="方正黑体_GBK"/>
          <w:sz w:val="32"/>
          <w:szCs w:val="32"/>
          <w:u w:color="000000"/>
          <w:lang w:val="en-US" w:eastAsia="zh-CN"/>
        </w:rPr>
        <w:t>七</w:t>
      </w:r>
      <w:r>
        <w:rPr>
          <w:rFonts w:hint="eastAsia" w:ascii="方正黑体_GBK" w:hAnsi="方正黑体_GBK" w:eastAsia="方正黑体_GBK" w:cs="方正黑体_GBK"/>
          <w:sz w:val="32"/>
          <w:szCs w:val="32"/>
          <w:u w:color="000000"/>
        </w:rPr>
        <w:t>、签订合同</w:t>
      </w:r>
      <w:bookmarkEnd w:id="10"/>
      <w:bookmarkEnd w:id="11"/>
    </w:p>
    <w:p w14:paraId="24F8A4D4">
      <w:pPr>
        <w:spacing w:line="580" w:lineRule="exact"/>
        <w:ind w:firstLine="640" w:firstLineChars="200"/>
        <w:rPr>
          <w:rFonts w:eastAsia="方正仿宋_GBK"/>
          <w:color w:val="000000"/>
          <w:sz w:val="32"/>
          <w:szCs w:val="32"/>
        </w:rPr>
      </w:pPr>
      <w:r>
        <w:rPr>
          <w:rFonts w:hint="eastAsia" w:eastAsia="方正仿宋_GBK"/>
          <w:color w:val="000000"/>
          <w:sz w:val="32"/>
          <w:szCs w:val="32"/>
        </w:rPr>
        <w:t>（一）</w:t>
      </w:r>
      <w:r>
        <w:rPr>
          <w:rFonts w:eastAsia="方正仿宋_GBK"/>
          <w:color w:val="000000"/>
          <w:sz w:val="32"/>
          <w:szCs w:val="32"/>
        </w:rPr>
        <w:t>评选小组将评选结果报比选人内部有权审批机构审批完成后，比选人将向</w:t>
      </w:r>
      <w:r>
        <w:rPr>
          <w:rFonts w:hint="eastAsia" w:eastAsia="方正仿宋_GBK"/>
          <w:color w:val="000000"/>
          <w:sz w:val="32"/>
          <w:szCs w:val="32"/>
          <w:lang w:eastAsia="zh-CN"/>
        </w:rPr>
        <w:t>中标单位</w:t>
      </w:r>
      <w:r>
        <w:rPr>
          <w:rFonts w:eastAsia="方正仿宋_GBK"/>
          <w:color w:val="000000"/>
          <w:sz w:val="32"/>
          <w:szCs w:val="32"/>
        </w:rPr>
        <w:t>发出《中</w:t>
      </w:r>
      <w:r>
        <w:rPr>
          <w:rFonts w:hint="eastAsia" w:eastAsia="方正仿宋_GBK"/>
          <w:color w:val="000000"/>
          <w:sz w:val="32"/>
          <w:szCs w:val="32"/>
          <w:lang w:eastAsia="zh-CN"/>
        </w:rPr>
        <w:t>标</w:t>
      </w:r>
      <w:r>
        <w:rPr>
          <w:rFonts w:eastAsia="方正仿宋_GBK"/>
          <w:color w:val="000000"/>
          <w:sz w:val="32"/>
          <w:szCs w:val="32"/>
        </w:rPr>
        <w:t>通知书》</w:t>
      </w:r>
      <w:r>
        <w:rPr>
          <w:rFonts w:hint="eastAsia" w:eastAsia="方正仿宋_GBK"/>
          <w:color w:val="000000"/>
          <w:sz w:val="32"/>
          <w:szCs w:val="32"/>
        </w:rPr>
        <w:t>；</w:t>
      </w:r>
    </w:p>
    <w:p w14:paraId="6011B598">
      <w:pPr>
        <w:spacing w:line="580" w:lineRule="exact"/>
        <w:ind w:firstLine="640" w:firstLineChars="200"/>
        <w:jc w:val="left"/>
        <w:rPr>
          <w:rFonts w:ascii="方正小标宋_GBK" w:hAnsi="方正小标宋_GBK" w:eastAsia="方正小标宋_GBK" w:cs="方正小标宋_GBK"/>
          <w:sz w:val="32"/>
          <w:szCs w:val="32"/>
        </w:rPr>
      </w:pPr>
      <w:r>
        <w:rPr>
          <w:rFonts w:hint="eastAsia" w:eastAsia="方正仿宋_GBK"/>
          <w:color w:val="000000"/>
          <w:sz w:val="32"/>
          <w:szCs w:val="32"/>
        </w:rPr>
        <w:t>（二）</w:t>
      </w:r>
      <w:r>
        <w:rPr>
          <w:rFonts w:hint="eastAsia" w:eastAsia="方正仿宋_GBK"/>
          <w:color w:val="000000"/>
          <w:sz w:val="32"/>
          <w:szCs w:val="32"/>
          <w:lang w:eastAsia="zh-CN"/>
        </w:rPr>
        <w:t>中标单位</w:t>
      </w:r>
      <w:r>
        <w:rPr>
          <w:rFonts w:eastAsia="方正仿宋_GBK"/>
          <w:color w:val="000000"/>
          <w:sz w:val="32"/>
          <w:szCs w:val="32"/>
        </w:rPr>
        <w:t>应按《中</w:t>
      </w:r>
      <w:r>
        <w:rPr>
          <w:rFonts w:hint="eastAsia" w:eastAsia="方正仿宋_GBK"/>
          <w:color w:val="000000"/>
          <w:sz w:val="32"/>
          <w:szCs w:val="32"/>
          <w:lang w:eastAsia="zh-CN"/>
        </w:rPr>
        <w:t>标</w:t>
      </w:r>
      <w:r>
        <w:rPr>
          <w:rFonts w:eastAsia="方正仿宋_GBK"/>
          <w:color w:val="000000"/>
          <w:sz w:val="32"/>
          <w:szCs w:val="32"/>
        </w:rPr>
        <w:t>通知书》规定的时间与比选人签订合同，否则，比选人有权取消其中选资格。</w:t>
      </w:r>
    </w:p>
    <w:p w14:paraId="212A710E">
      <w:pPr>
        <w:jc w:val="center"/>
        <w:rPr>
          <w:rFonts w:hint="eastAsia" w:ascii="方正小标宋_GBK" w:hAnsi="方正小标宋_GBK" w:eastAsia="方正小标宋_GBK" w:cs="方正小标宋_GBK"/>
          <w:sz w:val="32"/>
          <w:szCs w:val="32"/>
        </w:rPr>
      </w:pPr>
    </w:p>
    <w:p w14:paraId="4D88A846">
      <w:pP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br w:type="page"/>
      </w:r>
    </w:p>
    <w:p w14:paraId="3E5A0BD0">
      <w:pPr>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第三部分  标项具体要求及评分规则</w:t>
      </w:r>
    </w:p>
    <w:p w14:paraId="27A91F57">
      <w:pPr>
        <w:spacing w:line="600" w:lineRule="exact"/>
        <w:ind w:firstLine="480"/>
        <w:rPr>
          <w:rFonts w:hint="eastAsia" w:ascii="方正黑体_GBK" w:hAnsi="方正黑体_GBK" w:eastAsia="方正黑体_GBK" w:cs="方正黑体_GBK"/>
          <w:color w:val="000000"/>
          <w:sz w:val="32"/>
          <w:szCs w:val="32"/>
        </w:rPr>
      </w:pPr>
    </w:p>
    <w:p w14:paraId="629004A5">
      <w:pPr>
        <w:spacing w:line="600" w:lineRule="exact"/>
        <w:ind w:firstLine="480"/>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一、服务需求</w:t>
      </w:r>
    </w:p>
    <w:p w14:paraId="5E21B4AC">
      <w:pPr>
        <w:spacing w:line="600" w:lineRule="exact"/>
        <w:ind w:firstLine="480"/>
        <w:rPr>
          <w:rFonts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（一）项目内容</w:t>
      </w:r>
    </w:p>
    <w:p w14:paraId="2AD315D0">
      <w:pPr>
        <w:pStyle w:val="7"/>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rPr>
        <w:t>培训主题：</w:t>
      </w:r>
      <w:r>
        <w:rPr>
          <w:rFonts w:hint="eastAsia" w:ascii="方正仿宋_GBK" w:hAnsi="方正仿宋_GBK" w:eastAsia="方正仿宋_GBK" w:cs="方正仿宋_GBK"/>
          <w:b w:val="0"/>
          <w:bCs w:val="0"/>
          <w:sz w:val="32"/>
          <w:szCs w:val="32"/>
          <w:lang w:eastAsia="zh-CN"/>
        </w:rPr>
        <w:t>职业化训练</w:t>
      </w:r>
      <w:r>
        <w:rPr>
          <w:rFonts w:hint="eastAsia" w:ascii="方正仿宋_GBK" w:hAnsi="方正仿宋_GBK" w:eastAsia="方正仿宋_GBK" w:cs="方正仿宋_GBK"/>
          <w:b w:val="0"/>
          <w:bCs w:val="0"/>
          <w:sz w:val="32"/>
          <w:szCs w:val="32"/>
        </w:rPr>
        <w:t>培训服务</w:t>
      </w:r>
      <w:r>
        <w:rPr>
          <w:rFonts w:hint="eastAsia" w:ascii="方正仿宋_GBK" w:hAnsi="方正仿宋_GBK" w:eastAsia="方正仿宋_GBK" w:cs="方正仿宋_GBK"/>
          <w:b w:val="0"/>
          <w:bCs w:val="0"/>
          <w:sz w:val="32"/>
          <w:szCs w:val="32"/>
          <w:lang w:eastAsia="zh-CN"/>
        </w:rPr>
        <w:t>。</w:t>
      </w:r>
    </w:p>
    <w:p w14:paraId="5F8722EB">
      <w:pPr>
        <w:spacing w:line="600" w:lineRule="exact"/>
        <w:ind w:firstLine="480"/>
        <w:rPr>
          <w:rFonts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 xml:space="preserve">（二）服务要求  </w:t>
      </w:r>
    </w:p>
    <w:p w14:paraId="0BC1B42D">
      <w:pPr>
        <w:pStyle w:val="7"/>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1.受托方应根据委托方的要求，制定具体的实施方案，报经委托方审核同意后方可实施。</w:t>
      </w:r>
    </w:p>
    <w:p w14:paraId="5962A0F6">
      <w:pPr>
        <w:pStyle w:val="7"/>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2.受托方必须确保为委托方提供优质、高效的服务，负责按委托方的培训要求，制定培训计划，开展培训和培训效果评估工作。</w:t>
      </w:r>
    </w:p>
    <w:p w14:paraId="38683A16">
      <w:pPr>
        <w:pStyle w:val="7"/>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3.根据委托方确定的培训时间，及时安排好老师、准备好课件及相关培训资料。</w:t>
      </w:r>
    </w:p>
    <w:p w14:paraId="2CD19EE7">
      <w:pPr>
        <w:pStyle w:val="7"/>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4.结合培训对象实际需求，保证授课老师按规定按时上课，传授培训对象实际工作中所需知识。授课内容、授课范围严格按照委托方的要求执行，不得擅自变更。</w:t>
      </w:r>
    </w:p>
    <w:p w14:paraId="52E9423E">
      <w:pPr>
        <w:pStyle w:val="7"/>
        <w:rPr>
          <w:rFonts w:ascii="方正仿宋_GBK" w:hAnsi="方正仿宋_GBK" w:eastAsia="方正仿宋_GBK" w:cs="方正仿宋_GBK"/>
          <w:sz w:val="32"/>
          <w:szCs w:val="32"/>
        </w:rPr>
      </w:pPr>
      <w:r>
        <w:rPr>
          <w:rFonts w:ascii="方正仿宋_GBK" w:hAnsi="方正仿宋_GBK" w:eastAsia="方正仿宋_GBK" w:cs="方正仿宋_GBK"/>
          <w:sz w:val="32"/>
          <w:szCs w:val="32"/>
        </w:rPr>
        <w:t>5</w:t>
      </w:r>
      <w:r>
        <w:rPr>
          <w:rFonts w:hint="eastAsia" w:ascii="方正仿宋_GBK" w:hAnsi="方正仿宋_GBK" w:eastAsia="方正仿宋_GBK" w:cs="方正仿宋_GBK"/>
          <w:sz w:val="32"/>
          <w:szCs w:val="32"/>
        </w:rPr>
        <w:t>.根据委托方的需求，做好其他临时性工作。</w:t>
      </w:r>
    </w:p>
    <w:p w14:paraId="5621E0BA">
      <w:pPr>
        <w:pStyle w:val="7"/>
        <w:rPr>
          <w:rFonts w:ascii="方正仿宋_GBK" w:hAnsi="方正仿宋_GBK" w:eastAsia="方正仿宋_GBK" w:cs="方正仿宋_GBK"/>
          <w:sz w:val="32"/>
          <w:szCs w:val="32"/>
        </w:rPr>
      </w:pPr>
      <w:r>
        <w:rPr>
          <w:rFonts w:ascii="方正仿宋_GBK" w:hAnsi="方正仿宋_GBK" w:eastAsia="方正仿宋_GBK" w:cs="方正仿宋_GBK"/>
          <w:sz w:val="32"/>
          <w:szCs w:val="32"/>
        </w:rPr>
        <w:t>6</w:t>
      </w:r>
      <w:r>
        <w:rPr>
          <w:rFonts w:hint="eastAsia" w:ascii="方正仿宋_GBK" w:hAnsi="方正仿宋_GBK" w:eastAsia="方正仿宋_GBK" w:cs="方正仿宋_GBK"/>
          <w:sz w:val="32"/>
          <w:szCs w:val="32"/>
        </w:rPr>
        <w:t>.本次招标的培训计划为暂定的，后续若出现培训计划变化、变更等情况，投标人须无条件服务招标人的工作安排。</w:t>
      </w:r>
    </w:p>
    <w:p w14:paraId="263D6D09">
      <w:pPr>
        <w:spacing w:line="600" w:lineRule="exact"/>
        <w:ind w:firstLine="480"/>
        <w:rPr>
          <w:rFonts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（三）承办方案及相关要求</w:t>
      </w:r>
    </w:p>
    <w:p w14:paraId="549AA332">
      <w:pPr>
        <w:pStyle w:val="7"/>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1.方案需</w:t>
      </w:r>
      <w:r>
        <w:rPr>
          <w:rFonts w:ascii="方正仿宋_GBK" w:hAnsi="微软雅黑" w:eastAsia="方正仿宋_GBK"/>
          <w:sz w:val="32"/>
          <w:szCs w:val="32"/>
        </w:rPr>
        <w:t>内容包括课程大纲、师资力量、执行团队等内容。</w:t>
      </w:r>
    </w:p>
    <w:tbl>
      <w:tblPr>
        <w:tblStyle w:val="14"/>
        <w:tblW w:w="7967" w:type="dxa"/>
        <w:jc w:val="center"/>
        <w:tblLayout w:type="fixed"/>
        <w:tblCellMar>
          <w:top w:w="0" w:type="dxa"/>
          <w:left w:w="108" w:type="dxa"/>
          <w:bottom w:w="0" w:type="dxa"/>
          <w:right w:w="108" w:type="dxa"/>
        </w:tblCellMar>
      </w:tblPr>
      <w:tblGrid>
        <w:gridCol w:w="1351"/>
        <w:gridCol w:w="1894"/>
        <w:gridCol w:w="2291"/>
        <w:gridCol w:w="1335"/>
        <w:gridCol w:w="1096"/>
      </w:tblGrid>
      <w:tr w14:paraId="69F4D750">
        <w:tblPrEx>
          <w:tblCellMar>
            <w:top w:w="0" w:type="dxa"/>
            <w:left w:w="108" w:type="dxa"/>
            <w:bottom w:w="0" w:type="dxa"/>
            <w:right w:w="108" w:type="dxa"/>
          </w:tblCellMar>
        </w:tblPrEx>
        <w:trPr>
          <w:trHeight w:val="565" w:hRule="atLeast"/>
          <w:jc w:val="center"/>
        </w:trPr>
        <w:tc>
          <w:tcPr>
            <w:tcW w:w="1351"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1F865B2C">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黑体_GBK" w:cs="方正黑体_GBK"/>
                <w:color w:val="000000"/>
                <w:sz w:val="22"/>
                <w:szCs w:val="22"/>
                <w:lang w:eastAsia="zh-CN"/>
              </w:rPr>
            </w:pPr>
            <w:r>
              <w:rPr>
                <w:rFonts w:hint="eastAsia" w:ascii="Times New Roman" w:hAnsi="Times New Roman" w:eastAsia="方正黑体_GBK" w:cs="方正黑体_GBK"/>
                <w:color w:val="000000"/>
                <w:kern w:val="0"/>
                <w:sz w:val="22"/>
                <w:szCs w:val="22"/>
                <w:lang w:eastAsia="zh-CN" w:bidi="ar"/>
              </w:rPr>
              <w:t>项目名称</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AE33B8">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方正黑体_GBK" w:cs="方正黑体_GBK"/>
                <w:color w:val="000000"/>
                <w:sz w:val="22"/>
                <w:szCs w:val="22"/>
              </w:rPr>
            </w:pPr>
            <w:r>
              <w:rPr>
                <w:rFonts w:hint="eastAsia" w:ascii="Times New Roman" w:hAnsi="Times New Roman" w:eastAsia="方正黑体_GBK" w:cs="方正黑体_GBK"/>
                <w:color w:val="000000"/>
                <w:kern w:val="0"/>
                <w:sz w:val="22"/>
                <w:szCs w:val="22"/>
                <w:lang w:bidi="ar"/>
              </w:rPr>
              <w:t>时间安排</w:t>
            </w:r>
          </w:p>
        </w:tc>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013BDBDD">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方正黑体_GBK" w:cs="方正黑体_GBK"/>
                <w:color w:val="000000"/>
                <w:sz w:val="22"/>
                <w:szCs w:val="22"/>
              </w:rPr>
            </w:pPr>
            <w:r>
              <w:rPr>
                <w:rFonts w:hint="eastAsia" w:ascii="Times New Roman" w:hAnsi="Times New Roman" w:eastAsia="方正黑体_GBK" w:cs="方正黑体_GBK"/>
                <w:color w:val="000000"/>
                <w:kern w:val="0"/>
                <w:sz w:val="22"/>
                <w:szCs w:val="22"/>
                <w:lang w:bidi="ar"/>
              </w:rPr>
              <w:t>具体内容</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E1329E">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方正黑体_GBK" w:cs="方正黑体_GBK"/>
                <w:color w:val="000000"/>
                <w:sz w:val="22"/>
                <w:szCs w:val="22"/>
              </w:rPr>
            </w:pPr>
            <w:r>
              <w:rPr>
                <w:rFonts w:hint="eastAsia" w:ascii="Times New Roman" w:hAnsi="Times New Roman" w:eastAsia="方正黑体_GBK" w:cs="方正黑体_GBK"/>
                <w:color w:val="000000"/>
                <w:kern w:val="0"/>
                <w:sz w:val="22"/>
                <w:szCs w:val="22"/>
                <w:lang w:bidi="ar"/>
              </w:rPr>
              <w:t>主讲人</w:t>
            </w: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670AF3">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方正黑体_GBK" w:cs="方正黑体_GBK"/>
                <w:color w:val="000000"/>
                <w:sz w:val="22"/>
                <w:szCs w:val="22"/>
              </w:rPr>
            </w:pPr>
            <w:r>
              <w:rPr>
                <w:rFonts w:hint="eastAsia" w:ascii="Times New Roman" w:hAnsi="Times New Roman" w:eastAsia="方正黑体_GBK" w:cs="方正黑体_GBK"/>
                <w:color w:val="000000"/>
                <w:kern w:val="0"/>
                <w:sz w:val="22"/>
                <w:szCs w:val="22"/>
                <w:lang w:bidi="ar"/>
              </w:rPr>
              <w:t>授课方式</w:t>
            </w:r>
          </w:p>
        </w:tc>
      </w:tr>
      <w:tr w14:paraId="2140902B">
        <w:tblPrEx>
          <w:tblCellMar>
            <w:top w:w="0" w:type="dxa"/>
            <w:left w:w="108" w:type="dxa"/>
            <w:bottom w:w="0" w:type="dxa"/>
            <w:right w:w="108" w:type="dxa"/>
          </w:tblCellMar>
        </w:tblPrEx>
        <w:trPr>
          <w:trHeight w:val="1070" w:hRule="atLeast"/>
          <w:jc w:val="center"/>
        </w:trPr>
        <w:tc>
          <w:tcPr>
            <w:tcW w:w="1351"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77F0379E">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b w:val="0"/>
                <w:bCs w:val="0"/>
                <w:color w:val="000000"/>
                <w:kern w:val="0"/>
                <w:sz w:val="22"/>
                <w:szCs w:val="22"/>
                <w:lang w:eastAsia="zh-CN" w:bidi="ar"/>
              </w:rPr>
            </w:pPr>
            <w:r>
              <w:rPr>
                <w:rFonts w:hint="eastAsia" w:ascii="方正仿宋_GBK" w:hAnsi="方正仿宋_GBK" w:eastAsia="方正仿宋_GBK" w:cs="方正仿宋_GBK"/>
                <w:b w:val="0"/>
                <w:bCs w:val="0"/>
                <w:color w:val="000000"/>
                <w:kern w:val="0"/>
                <w:sz w:val="22"/>
                <w:szCs w:val="22"/>
                <w:lang w:eastAsia="zh-CN" w:bidi="ar"/>
              </w:rPr>
              <w:t>职业化训练培训服务</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C3B7EA">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b w:val="0"/>
                <w:bCs w:val="0"/>
                <w:color w:val="000000"/>
                <w:kern w:val="0"/>
                <w:sz w:val="22"/>
                <w:szCs w:val="22"/>
                <w:lang w:val="en-US" w:eastAsia="zh-CN" w:bidi="ar"/>
              </w:rPr>
            </w:pPr>
            <w:r>
              <w:rPr>
                <w:rFonts w:hint="eastAsia" w:ascii="方正仿宋_GBK" w:hAnsi="方正仿宋_GBK" w:eastAsia="方正仿宋_GBK" w:cs="方正仿宋_GBK"/>
                <w:b w:val="0"/>
                <w:bCs w:val="0"/>
                <w:color w:val="000000"/>
                <w:kern w:val="0"/>
                <w:sz w:val="22"/>
                <w:szCs w:val="22"/>
                <w:lang w:val="en-US" w:eastAsia="zh-CN" w:bidi="ar"/>
              </w:rPr>
              <w:t>2025年</w:t>
            </w:r>
          </w:p>
        </w:tc>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29E3842E">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方正仿宋_GBK" w:hAnsi="方正仿宋_GBK" w:eastAsia="方正仿宋_GBK" w:cs="方正仿宋_GBK"/>
                <w:b w:val="0"/>
                <w:bCs w:val="0"/>
                <w:color w:val="000000"/>
                <w:kern w:val="0"/>
                <w:sz w:val="22"/>
                <w:szCs w:val="22"/>
                <w:lang w:val="en-US" w:eastAsia="zh-CN" w:bidi="ar"/>
              </w:rPr>
            </w:pPr>
            <w:r>
              <w:rPr>
                <w:rFonts w:hint="eastAsia" w:ascii="方正仿宋_GBK" w:hAnsi="方正仿宋_GBK" w:eastAsia="方正仿宋_GBK" w:cs="方正仿宋_GBK"/>
                <w:b w:val="0"/>
                <w:bCs w:val="0"/>
                <w:color w:val="000000"/>
                <w:kern w:val="0"/>
                <w:sz w:val="22"/>
                <w:szCs w:val="22"/>
                <w:lang w:val="en-US" w:eastAsia="zh-CN" w:bidi="ar"/>
              </w:rPr>
              <w:t>包括时间管理、目标管理、计划落实等内容</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A49895">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b w:val="0"/>
                <w:bCs w:val="0"/>
                <w:color w:val="000000"/>
                <w:sz w:val="22"/>
                <w:szCs w:val="22"/>
                <w:lang w:eastAsia="zh-CN"/>
              </w:rPr>
            </w:pPr>
            <w:r>
              <w:rPr>
                <w:rFonts w:hint="eastAsia" w:ascii="方正仿宋_GBK" w:hAnsi="方正仿宋_GBK" w:eastAsia="方正仿宋_GBK" w:cs="方正仿宋_GBK"/>
                <w:b w:val="0"/>
                <w:bCs w:val="0"/>
                <w:color w:val="000000"/>
                <w:sz w:val="22"/>
                <w:szCs w:val="22"/>
                <w:lang w:eastAsia="zh-CN"/>
              </w:rPr>
              <w:t>第三方机构</w:t>
            </w: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9F03AF">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b w:val="0"/>
                <w:bCs w:val="0"/>
                <w:color w:val="000000"/>
                <w:kern w:val="0"/>
                <w:sz w:val="22"/>
                <w:szCs w:val="22"/>
                <w:lang w:eastAsia="zh-CN" w:bidi="ar"/>
              </w:rPr>
            </w:pPr>
            <w:r>
              <w:rPr>
                <w:rFonts w:hint="eastAsia" w:ascii="方正仿宋_GBK" w:hAnsi="方正仿宋_GBK" w:eastAsia="方正仿宋_GBK" w:cs="方正仿宋_GBK"/>
                <w:b w:val="0"/>
                <w:bCs w:val="0"/>
                <w:color w:val="000000"/>
                <w:kern w:val="0"/>
                <w:sz w:val="22"/>
                <w:szCs w:val="22"/>
                <w:lang w:eastAsia="zh-CN" w:bidi="ar"/>
              </w:rPr>
              <w:t>线下</w:t>
            </w:r>
          </w:p>
        </w:tc>
      </w:tr>
    </w:tbl>
    <w:p w14:paraId="0485801E">
      <w:pPr>
        <w:pStyle w:val="7"/>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.投标单位所有提交关于本次招标项目的培训方案等，不论投标单位中标与否，招标人可无偿使用；投标单位针对本项目编制的培训核心内容不得修改，否则投标无效。</w:t>
      </w:r>
    </w:p>
    <w:p w14:paraId="231B1C0B">
      <w:pPr>
        <w:pStyle w:val="7"/>
        <w:spacing w:line="60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二、投标要求</w:t>
      </w:r>
    </w:p>
    <w:p w14:paraId="128EE3C5">
      <w:pPr>
        <w:pStyle w:val="7"/>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（一）服务时间要求</w:t>
      </w:r>
    </w:p>
    <w:p w14:paraId="4D40C083">
      <w:pPr>
        <w:pStyle w:val="7"/>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具体时间以比选人安排为准。</w:t>
      </w:r>
    </w:p>
    <w:p w14:paraId="68538922">
      <w:pPr>
        <w:pStyle w:val="7"/>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（二）服务地点</w:t>
      </w:r>
    </w:p>
    <w:p w14:paraId="7DE2A68B">
      <w:pPr>
        <w:pStyle w:val="7"/>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由比选人提供。</w:t>
      </w:r>
    </w:p>
    <w:p w14:paraId="476AB854">
      <w:pPr>
        <w:pStyle w:val="7"/>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（三）报价要求</w:t>
      </w:r>
    </w:p>
    <w:p w14:paraId="66B88800">
      <w:pPr>
        <w:pStyle w:val="7"/>
        <w:spacing w:line="60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招标文件中的技术要求不得被认为是详尽无遗的，无论规定与否，供应商都应提供所有采购人没有规定但供应商认为完成本项目操作和使用，必要或必需的服务内容，并在报价明细表中列明。投标供应商应对招标工作范围全部内容进行报价，不允许只对部分内容进行报价。</w:t>
      </w:r>
    </w:p>
    <w:p w14:paraId="462F2F04">
      <w:pPr>
        <w:pStyle w:val="7"/>
        <w:spacing w:line="60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（四）付款方式：</w:t>
      </w:r>
      <w:r>
        <w:rPr>
          <w:rFonts w:hint="eastAsia" w:ascii="方正仿宋_GBK" w:hAnsi="方正仿宋_GBK" w:eastAsia="方正仿宋_GBK" w:cs="方正仿宋_GBK"/>
          <w:sz w:val="32"/>
          <w:szCs w:val="32"/>
        </w:rPr>
        <w:t>签订合同后，采购人在收到</w:t>
      </w:r>
      <w:r>
        <w:rPr>
          <w:rFonts w:hint="eastAsia" w:ascii="方正仿宋_GBK" w:hAnsi="方正仿宋_GBK" w:eastAsia="方正仿宋_GBK" w:cs="方正仿宋_GBK"/>
          <w:sz w:val="32"/>
          <w:szCs w:val="32"/>
          <w:lang w:val="en-US" w:eastAsia="zh-CN"/>
        </w:rPr>
        <w:t>中标单位</w:t>
      </w:r>
      <w:r>
        <w:rPr>
          <w:rFonts w:hint="eastAsia" w:ascii="方正仿宋_GBK" w:hAnsi="方正仿宋_GBK" w:eastAsia="方正仿宋_GBK" w:cs="方正仿宋_GBK"/>
          <w:sz w:val="32"/>
          <w:szCs w:val="32"/>
        </w:rPr>
        <w:t>开具的增值税专用发票后，7个工作日内一次性支付服务费用。</w:t>
      </w:r>
    </w:p>
    <w:p w14:paraId="0C59F5DF">
      <w:pPr>
        <w:pStyle w:val="7"/>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（五）资格审查</w:t>
      </w:r>
    </w:p>
    <w:p w14:paraId="17E7DA1C">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本次招标实行资格后审，投标人投标时应满足下列资格条件要求，未提供、少提供均为废标：</w:t>
      </w:r>
    </w:p>
    <w:p w14:paraId="772168D0">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1.投标人须为在中华人民共和国境内依法注册，具有独立承担民事责任的法人或其他组织；具有有效的</w:t>
      </w:r>
      <w:r>
        <w:rPr>
          <w:rFonts w:hint="eastAsia" w:ascii="方正仿宋_GBK" w:hAnsi="方正仿宋_GBK" w:eastAsia="方正仿宋_GBK" w:cs="方正仿宋_GBK"/>
          <w:b w:val="0"/>
          <w:bCs w:val="0"/>
          <w:sz w:val="32"/>
          <w:szCs w:val="32"/>
        </w:rPr>
        <w:t>营业执照</w:t>
      </w:r>
      <w:r>
        <w:rPr>
          <w:rFonts w:hint="eastAsia" w:ascii="方正仿宋_GBK" w:hAnsi="方正仿宋_GBK" w:eastAsia="方正仿宋_GBK" w:cs="方正仿宋_GBK"/>
          <w:sz w:val="32"/>
          <w:szCs w:val="32"/>
        </w:rPr>
        <w:t>。</w:t>
      </w:r>
    </w:p>
    <w:p w14:paraId="77F1390F">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2.投标人具有健全的财务会计制度，具有履行合同所必需的设备和专业技术能力、完善的售后服务体系，并在人员、设备、资金等方面具有相应的专业能力。（注：投标人按招标文件中格式进行</w:t>
      </w:r>
      <w:r>
        <w:rPr>
          <w:rFonts w:hint="eastAsia" w:ascii="方正仿宋_GBK" w:hAnsi="方正仿宋_GBK" w:eastAsia="方正仿宋_GBK" w:cs="方正仿宋_GBK"/>
          <w:b w:val="0"/>
          <w:bCs w:val="0"/>
          <w:sz w:val="32"/>
          <w:szCs w:val="32"/>
        </w:rPr>
        <w:t>承诺，</w:t>
      </w:r>
      <w:r>
        <w:rPr>
          <w:rFonts w:hint="eastAsia" w:ascii="方正仿宋_GBK" w:hAnsi="方正仿宋_GBK" w:eastAsia="方正仿宋_GBK" w:cs="方正仿宋_GBK"/>
          <w:sz w:val="32"/>
          <w:szCs w:val="32"/>
        </w:rPr>
        <w:t>并加盖投标人鲜章。）</w:t>
      </w:r>
    </w:p>
    <w:p w14:paraId="543C48F1">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投标人须具有良好的商业信誉，没有被责令停业、暂停投标资格，2023年1月1日至投标截止日在“信用中国网”（www.creditchina.gov.cn）无失信惩戒信息记录、在“中国政府采购网”（www.ccgp.gov.cn）无政府采购严重违法失信行为信息记录。</w:t>
      </w:r>
    </w:p>
    <w:p w14:paraId="41DFA9E3">
      <w:pPr>
        <w:pStyle w:val="13"/>
        <w:spacing w:before="0" w:after="0" w:line="600" w:lineRule="exact"/>
        <w:ind w:firstLine="640" w:firstLineChars="200"/>
        <w:jc w:val="both"/>
        <w:rPr>
          <w:rFonts w:hint="eastAsia" w:ascii="方正仿宋_GBK" w:hAnsi="方正仿宋_GBK" w:eastAsia="方正仿宋_GBK" w:cs="方正仿宋_GBK"/>
          <w:b w:val="0"/>
          <w:bCs w:val="0"/>
          <w:sz w:val="32"/>
          <w:lang w:eastAsia="zh-CN"/>
        </w:rPr>
      </w:pPr>
      <w:r>
        <w:rPr>
          <w:rFonts w:hint="eastAsia" w:ascii="方正仿宋_GBK" w:hAnsi="方正仿宋_GBK" w:eastAsia="方正仿宋_GBK" w:cs="方正仿宋_GBK"/>
          <w:b w:val="0"/>
          <w:bCs w:val="0"/>
          <w:sz w:val="32"/>
        </w:rPr>
        <w:t>4.报价文件材料加盖企业公章或其他有效公章（如投标专用章）</w:t>
      </w:r>
      <w:r>
        <w:rPr>
          <w:rFonts w:hint="eastAsia" w:ascii="方正仿宋_GBK" w:hAnsi="方正仿宋_GBK" w:eastAsia="方正仿宋_GBK" w:cs="方正仿宋_GBK"/>
          <w:b w:val="0"/>
          <w:bCs w:val="0"/>
          <w:sz w:val="32"/>
          <w:lang w:eastAsia="zh-CN"/>
        </w:rPr>
        <w:t>。</w:t>
      </w:r>
    </w:p>
    <w:p w14:paraId="06A8B2B5">
      <w:pPr>
        <w:pStyle w:val="7"/>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六</w:t>
      </w:r>
      <w:r>
        <w:rPr>
          <w:rFonts w:hint="eastAsia" w:ascii="方正楷体_GBK" w:hAnsi="方正楷体_GBK" w:eastAsia="方正楷体_GBK" w:cs="方正楷体_GBK"/>
          <w:sz w:val="32"/>
          <w:szCs w:val="32"/>
        </w:rPr>
        <w:t>）评标办法及评分标准</w:t>
      </w:r>
    </w:p>
    <w:p w14:paraId="4B4AA6E3">
      <w:pPr>
        <w:pStyle w:val="7"/>
        <w:spacing w:line="60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次评标采用综合评分法，总分为100分。合格投标人的评标得分为各项目汇总得分，中标候选资格按评标得分由高到低顺序排列，得分相同的，按投标报价由低到高顺序排列；得分且投标报价相同的，按技术指标优劣顺序排列。合格投标人的评标得分为各项目汇总得分，中标候选资格按评标得分由高到低顺序排列，得分相同的，按投标报价由低到高顺序排列；得分且投标报价相同的，按技术指标优劣顺序排列。各标项排名第一的投标人为第一中标候选人。评分过程中采用四舍五入法，并保留小数2位。</w:t>
      </w:r>
    </w:p>
    <w:p w14:paraId="2CA86584">
      <w:pPr>
        <w:pStyle w:val="7"/>
        <w:spacing w:line="60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各投标人的综合得分为：投标价格得分+商务+技术+加分项得分之和，总和为100分，其中：投标价格得分2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分，商务、技术得分</w:t>
      </w:r>
      <w:r>
        <w:rPr>
          <w:rFonts w:hint="eastAsia" w:ascii="方正仿宋_GBK" w:hAnsi="方正仿宋_GBK" w:eastAsia="方正仿宋_GBK" w:cs="方正仿宋_GBK"/>
          <w:sz w:val="32"/>
          <w:szCs w:val="32"/>
          <w:lang w:val="en-US" w:eastAsia="zh-CN"/>
        </w:rPr>
        <w:t>75</w:t>
      </w:r>
      <w:r>
        <w:rPr>
          <w:rFonts w:hint="eastAsia" w:ascii="方正仿宋_GBK" w:hAnsi="方正仿宋_GBK" w:eastAsia="方正仿宋_GBK" w:cs="方正仿宋_GBK"/>
          <w:sz w:val="32"/>
          <w:szCs w:val="32"/>
        </w:rPr>
        <w:t>分。</w:t>
      </w:r>
    </w:p>
    <w:p w14:paraId="2A87EA14">
      <w:pPr>
        <w:rPr>
          <w:rFonts w:ascii="方正仿宋_GBK" w:hAnsi="方正仿宋_GBK" w:eastAsia="方正仿宋_GBK" w:cs="方正仿宋_GBK"/>
          <w:sz w:val="32"/>
          <w:szCs w:val="32"/>
        </w:rPr>
        <w:sectPr>
          <w:footerReference r:id="rId4" w:type="default"/>
          <w:pgSz w:w="11905" w:h="16838"/>
          <w:pgMar w:top="2098" w:right="1531" w:bottom="1984" w:left="1531" w:header="851" w:footer="992" w:gutter="0"/>
          <w:pgNumType w:fmt="numberInDash" w:start="1"/>
          <w:cols w:space="425" w:num="1"/>
          <w:docGrid w:type="lines" w:linePitch="319" w:charSpace="0"/>
        </w:sectPr>
      </w:pP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6"/>
        <w:gridCol w:w="586"/>
        <w:gridCol w:w="812"/>
        <w:gridCol w:w="914"/>
        <w:gridCol w:w="6935"/>
        <w:gridCol w:w="4311"/>
      </w:tblGrid>
      <w:tr w14:paraId="2C080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6"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67841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方正黑体_GBK" w:hAnsi="方正黑体_GBK" w:eastAsia="方正黑体_GBK" w:cs="方正黑体_GBK"/>
                <w:i w:val="0"/>
                <w:iCs w:val="0"/>
                <w:color w:val="000000"/>
                <w:sz w:val="20"/>
                <w:szCs w:val="20"/>
                <w:u w:val="none"/>
              </w:rPr>
            </w:pPr>
            <w:r>
              <w:rPr>
                <w:rFonts w:hint="default" w:ascii="方正黑体_GBK" w:hAnsi="方正黑体_GBK" w:eastAsia="方正黑体_GBK" w:cs="方正黑体_GBK"/>
                <w:i w:val="0"/>
                <w:iCs w:val="0"/>
                <w:color w:val="000000"/>
                <w:kern w:val="0"/>
                <w:sz w:val="20"/>
                <w:szCs w:val="20"/>
                <w:u w:val="none"/>
                <w:lang w:val="en-US" w:eastAsia="zh-CN" w:bidi="ar"/>
              </w:rPr>
              <w:t>序号</w:t>
            </w:r>
          </w:p>
        </w:tc>
        <w:tc>
          <w:tcPr>
            <w:tcW w:w="1398" w:type="dxa"/>
            <w:gridSpan w:val="2"/>
            <w:vMerge w:val="restart"/>
            <w:tcBorders>
              <w:top w:val="single" w:color="000000" w:sz="8" w:space="0"/>
              <w:left w:val="nil"/>
              <w:bottom w:val="single" w:color="000000" w:sz="8" w:space="0"/>
              <w:right w:val="single" w:color="000000" w:sz="8" w:space="0"/>
            </w:tcBorders>
            <w:shd w:val="clear" w:color="auto" w:fill="auto"/>
            <w:vAlign w:val="center"/>
          </w:tcPr>
          <w:p w14:paraId="356CB1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00000"/>
                <w:sz w:val="20"/>
                <w:szCs w:val="20"/>
                <w:u w:val="none"/>
              </w:rPr>
            </w:pPr>
            <w:r>
              <w:rPr>
                <w:rFonts w:hint="default" w:ascii="方正黑体_GBK" w:hAnsi="方正黑体_GBK" w:eastAsia="方正黑体_GBK" w:cs="方正黑体_GBK"/>
                <w:i w:val="0"/>
                <w:iCs w:val="0"/>
                <w:color w:val="000000"/>
                <w:kern w:val="0"/>
                <w:sz w:val="20"/>
                <w:szCs w:val="20"/>
                <w:u w:val="none"/>
                <w:lang w:val="en-US" w:eastAsia="zh-CN" w:bidi="ar"/>
              </w:rPr>
              <w:t>项目</w:t>
            </w:r>
          </w:p>
        </w:tc>
        <w:tc>
          <w:tcPr>
            <w:tcW w:w="914" w:type="dxa"/>
            <w:tcBorders>
              <w:top w:val="single" w:color="000000" w:sz="8" w:space="0"/>
              <w:left w:val="nil"/>
              <w:bottom w:val="nil"/>
              <w:right w:val="single" w:color="000000" w:sz="8" w:space="0"/>
            </w:tcBorders>
            <w:shd w:val="clear" w:color="auto" w:fill="auto"/>
            <w:vAlign w:val="center"/>
          </w:tcPr>
          <w:p w14:paraId="545730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00000"/>
                <w:sz w:val="20"/>
                <w:szCs w:val="20"/>
                <w:u w:val="none"/>
              </w:rPr>
            </w:pPr>
            <w:r>
              <w:rPr>
                <w:rFonts w:hint="default" w:ascii="方正黑体_GBK" w:hAnsi="方正黑体_GBK" w:eastAsia="方正黑体_GBK" w:cs="方正黑体_GBK"/>
                <w:i w:val="0"/>
                <w:iCs w:val="0"/>
                <w:color w:val="000000"/>
                <w:kern w:val="0"/>
                <w:sz w:val="20"/>
                <w:szCs w:val="20"/>
                <w:u w:val="none"/>
                <w:lang w:val="en-US" w:eastAsia="zh-CN" w:bidi="ar"/>
              </w:rPr>
              <w:t>分值</w:t>
            </w:r>
          </w:p>
        </w:tc>
        <w:tc>
          <w:tcPr>
            <w:tcW w:w="6935" w:type="dxa"/>
            <w:vMerge w:val="restart"/>
            <w:tcBorders>
              <w:top w:val="single" w:color="000000" w:sz="8" w:space="0"/>
              <w:left w:val="nil"/>
              <w:bottom w:val="single" w:color="000000" w:sz="8" w:space="0"/>
              <w:right w:val="single" w:color="000000" w:sz="8" w:space="0"/>
            </w:tcBorders>
            <w:shd w:val="clear" w:color="auto" w:fill="auto"/>
            <w:vAlign w:val="center"/>
          </w:tcPr>
          <w:p w14:paraId="323EEE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00000"/>
                <w:sz w:val="22"/>
                <w:szCs w:val="22"/>
                <w:u w:val="none"/>
              </w:rPr>
            </w:pPr>
            <w:r>
              <w:rPr>
                <w:rFonts w:hint="default" w:ascii="方正黑体_GBK" w:hAnsi="方正黑体_GBK" w:eastAsia="方正黑体_GBK" w:cs="方正黑体_GBK"/>
                <w:i w:val="0"/>
                <w:iCs w:val="0"/>
                <w:color w:val="000000"/>
                <w:kern w:val="0"/>
                <w:sz w:val="22"/>
                <w:szCs w:val="22"/>
                <w:u w:val="none"/>
                <w:lang w:val="en-US" w:eastAsia="zh-CN" w:bidi="ar"/>
              </w:rPr>
              <w:t>评分标准</w:t>
            </w:r>
          </w:p>
        </w:tc>
        <w:tc>
          <w:tcPr>
            <w:tcW w:w="4311" w:type="dxa"/>
            <w:vMerge w:val="restart"/>
            <w:tcBorders>
              <w:top w:val="single" w:color="000000" w:sz="8" w:space="0"/>
              <w:left w:val="nil"/>
              <w:bottom w:val="single" w:color="000000" w:sz="8" w:space="0"/>
              <w:right w:val="single" w:color="000000" w:sz="8" w:space="0"/>
            </w:tcBorders>
            <w:shd w:val="clear" w:color="auto" w:fill="auto"/>
            <w:noWrap/>
            <w:vAlign w:val="center"/>
          </w:tcPr>
          <w:p w14:paraId="201055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00000"/>
                <w:sz w:val="20"/>
                <w:szCs w:val="20"/>
                <w:u w:val="none"/>
              </w:rPr>
            </w:pPr>
            <w:r>
              <w:rPr>
                <w:rFonts w:hint="default" w:ascii="方正黑体_GBK" w:hAnsi="方正黑体_GBK" w:eastAsia="方正黑体_GBK" w:cs="方正黑体_GBK"/>
                <w:i w:val="0"/>
                <w:iCs w:val="0"/>
                <w:color w:val="000000"/>
                <w:kern w:val="0"/>
                <w:sz w:val="20"/>
                <w:szCs w:val="20"/>
                <w:u w:val="none"/>
                <w:lang w:val="en-US" w:eastAsia="zh-CN" w:bidi="ar"/>
              </w:rPr>
              <w:t>备注</w:t>
            </w:r>
          </w:p>
        </w:tc>
      </w:tr>
      <w:tr w14:paraId="778E5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6"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8EC99D5">
            <w:pPr>
              <w:keepNext w:val="0"/>
              <w:keepLines w:val="0"/>
              <w:pageBreakBefore w:val="0"/>
              <w:widowControl/>
              <w:kinsoku/>
              <w:wordWrap/>
              <w:overflowPunct/>
              <w:topLinePunct w:val="0"/>
              <w:autoSpaceDE/>
              <w:autoSpaceDN/>
              <w:bidi w:val="0"/>
              <w:adjustRightInd/>
              <w:snapToGrid/>
              <w:spacing w:line="300" w:lineRule="exact"/>
              <w:jc w:val="center"/>
              <w:rPr>
                <w:rFonts w:hint="default" w:ascii="方正黑体_GBK" w:hAnsi="方正黑体_GBK" w:eastAsia="方正黑体_GBK" w:cs="方正黑体_GBK"/>
                <w:i w:val="0"/>
                <w:iCs w:val="0"/>
                <w:color w:val="000000"/>
                <w:sz w:val="20"/>
                <w:szCs w:val="20"/>
                <w:u w:val="none"/>
              </w:rPr>
            </w:pPr>
          </w:p>
        </w:tc>
        <w:tc>
          <w:tcPr>
            <w:tcW w:w="1398" w:type="dxa"/>
            <w:gridSpan w:val="2"/>
            <w:vMerge w:val="continue"/>
            <w:tcBorders>
              <w:top w:val="single" w:color="000000" w:sz="8" w:space="0"/>
              <w:left w:val="nil"/>
              <w:bottom w:val="single" w:color="000000" w:sz="8" w:space="0"/>
              <w:right w:val="single" w:color="000000" w:sz="8" w:space="0"/>
            </w:tcBorders>
            <w:shd w:val="clear" w:color="auto" w:fill="auto"/>
            <w:vAlign w:val="center"/>
          </w:tcPr>
          <w:p w14:paraId="006D680A">
            <w:pPr>
              <w:keepNext w:val="0"/>
              <w:keepLines w:val="0"/>
              <w:pageBreakBefore w:val="0"/>
              <w:widowControl/>
              <w:kinsoku/>
              <w:wordWrap/>
              <w:overflowPunct/>
              <w:topLinePunct w:val="0"/>
              <w:autoSpaceDE/>
              <w:autoSpaceDN/>
              <w:bidi w:val="0"/>
              <w:adjustRightInd/>
              <w:snapToGrid/>
              <w:spacing w:line="300" w:lineRule="exact"/>
              <w:jc w:val="center"/>
              <w:rPr>
                <w:rFonts w:hint="default" w:ascii="方正黑体_GBK" w:hAnsi="方正黑体_GBK" w:eastAsia="方正黑体_GBK" w:cs="方正黑体_GBK"/>
                <w:i w:val="0"/>
                <w:iCs w:val="0"/>
                <w:color w:val="000000"/>
                <w:sz w:val="20"/>
                <w:szCs w:val="20"/>
                <w:u w:val="none"/>
              </w:rPr>
            </w:pPr>
          </w:p>
        </w:tc>
        <w:tc>
          <w:tcPr>
            <w:tcW w:w="914" w:type="dxa"/>
            <w:tcBorders>
              <w:top w:val="nil"/>
              <w:left w:val="nil"/>
              <w:bottom w:val="single" w:color="000000" w:sz="8" w:space="0"/>
              <w:right w:val="single" w:color="000000" w:sz="8" w:space="0"/>
            </w:tcBorders>
            <w:shd w:val="clear" w:color="auto" w:fill="auto"/>
            <w:vAlign w:val="center"/>
          </w:tcPr>
          <w:p w14:paraId="7A8654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00000"/>
                <w:sz w:val="20"/>
                <w:szCs w:val="20"/>
                <w:u w:val="none"/>
              </w:rPr>
            </w:pPr>
            <w:r>
              <w:rPr>
                <w:rFonts w:hint="default" w:ascii="方正黑体_GBK" w:hAnsi="方正黑体_GBK" w:eastAsia="方正黑体_GBK" w:cs="方正黑体_GBK"/>
                <w:i w:val="0"/>
                <w:iCs w:val="0"/>
                <w:color w:val="000000"/>
                <w:kern w:val="0"/>
                <w:sz w:val="20"/>
                <w:szCs w:val="20"/>
                <w:u w:val="none"/>
                <w:lang w:val="en-US" w:eastAsia="zh-CN" w:bidi="ar"/>
              </w:rPr>
              <w:t>（满分100分）</w:t>
            </w:r>
          </w:p>
        </w:tc>
        <w:tc>
          <w:tcPr>
            <w:tcW w:w="6935" w:type="dxa"/>
            <w:vMerge w:val="continue"/>
            <w:tcBorders>
              <w:top w:val="single" w:color="000000" w:sz="8" w:space="0"/>
              <w:left w:val="nil"/>
              <w:bottom w:val="single" w:color="000000" w:sz="8" w:space="0"/>
              <w:right w:val="single" w:color="000000" w:sz="8" w:space="0"/>
            </w:tcBorders>
            <w:shd w:val="clear" w:color="auto" w:fill="auto"/>
            <w:vAlign w:val="center"/>
          </w:tcPr>
          <w:p w14:paraId="01A6CC4F">
            <w:pPr>
              <w:keepNext w:val="0"/>
              <w:keepLines w:val="0"/>
              <w:pageBreakBefore w:val="0"/>
              <w:widowControl/>
              <w:kinsoku/>
              <w:wordWrap/>
              <w:overflowPunct/>
              <w:topLinePunct w:val="0"/>
              <w:autoSpaceDE/>
              <w:autoSpaceDN/>
              <w:bidi w:val="0"/>
              <w:adjustRightInd/>
              <w:snapToGrid/>
              <w:spacing w:line="300" w:lineRule="exact"/>
              <w:jc w:val="center"/>
              <w:rPr>
                <w:rFonts w:hint="default" w:ascii="方正黑体_GBK" w:hAnsi="方正黑体_GBK" w:eastAsia="方正黑体_GBK" w:cs="方正黑体_GBK"/>
                <w:i w:val="0"/>
                <w:iCs w:val="0"/>
                <w:color w:val="000000"/>
                <w:sz w:val="22"/>
                <w:szCs w:val="22"/>
                <w:u w:val="none"/>
              </w:rPr>
            </w:pPr>
          </w:p>
        </w:tc>
        <w:tc>
          <w:tcPr>
            <w:tcW w:w="4311" w:type="dxa"/>
            <w:vMerge w:val="continue"/>
            <w:tcBorders>
              <w:top w:val="single" w:color="000000" w:sz="8" w:space="0"/>
              <w:left w:val="nil"/>
              <w:bottom w:val="single" w:color="000000" w:sz="8" w:space="0"/>
              <w:right w:val="single" w:color="000000" w:sz="8" w:space="0"/>
            </w:tcBorders>
            <w:shd w:val="clear" w:color="auto" w:fill="auto"/>
            <w:noWrap/>
            <w:vAlign w:val="center"/>
          </w:tcPr>
          <w:p w14:paraId="0C0EB120">
            <w:pPr>
              <w:keepNext w:val="0"/>
              <w:keepLines w:val="0"/>
              <w:pageBreakBefore w:val="0"/>
              <w:widowControl/>
              <w:kinsoku/>
              <w:wordWrap/>
              <w:overflowPunct/>
              <w:topLinePunct w:val="0"/>
              <w:autoSpaceDE/>
              <w:autoSpaceDN/>
              <w:bidi w:val="0"/>
              <w:adjustRightInd/>
              <w:snapToGrid/>
              <w:spacing w:line="300" w:lineRule="exact"/>
              <w:jc w:val="center"/>
              <w:rPr>
                <w:rFonts w:hint="default" w:ascii="方正黑体_GBK" w:hAnsi="方正黑体_GBK" w:eastAsia="方正黑体_GBK" w:cs="方正黑体_GBK"/>
                <w:i w:val="0"/>
                <w:iCs w:val="0"/>
                <w:color w:val="000000"/>
                <w:sz w:val="20"/>
                <w:szCs w:val="20"/>
                <w:u w:val="none"/>
              </w:rPr>
            </w:pPr>
          </w:p>
        </w:tc>
      </w:tr>
      <w:tr w14:paraId="3D639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16" w:type="dxa"/>
            <w:vMerge w:val="restart"/>
            <w:tcBorders>
              <w:top w:val="nil"/>
              <w:left w:val="single" w:color="000000" w:sz="8" w:space="0"/>
              <w:bottom w:val="single" w:color="000000" w:sz="8" w:space="0"/>
              <w:right w:val="single" w:color="000000" w:sz="8" w:space="0"/>
            </w:tcBorders>
            <w:shd w:val="clear" w:color="auto" w:fill="auto"/>
            <w:noWrap/>
            <w:vAlign w:val="center"/>
          </w:tcPr>
          <w:p w14:paraId="05D76C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398" w:type="dxa"/>
            <w:gridSpan w:val="2"/>
            <w:vMerge w:val="restart"/>
            <w:tcBorders>
              <w:top w:val="nil"/>
              <w:left w:val="nil"/>
              <w:bottom w:val="single" w:color="000000" w:sz="8" w:space="0"/>
              <w:right w:val="single" w:color="000000" w:sz="8" w:space="0"/>
            </w:tcBorders>
            <w:shd w:val="clear" w:color="auto" w:fill="auto"/>
            <w:vAlign w:val="center"/>
          </w:tcPr>
          <w:p w14:paraId="1C2C11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报价</w:t>
            </w:r>
          </w:p>
        </w:tc>
        <w:tc>
          <w:tcPr>
            <w:tcW w:w="914" w:type="dxa"/>
            <w:vMerge w:val="restart"/>
            <w:tcBorders>
              <w:top w:val="nil"/>
              <w:left w:val="nil"/>
              <w:bottom w:val="single" w:color="000000" w:sz="8" w:space="0"/>
              <w:right w:val="single" w:color="000000" w:sz="8" w:space="0"/>
            </w:tcBorders>
            <w:shd w:val="clear" w:color="auto" w:fill="auto"/>
            <w:noWrap/>
            <w:vAlign w:val="center"/>
          </w:tcPr>
          <w:p w14:paraId="0F1B67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25</w:t>
            </w:r>
          </w:p>
        </w:tc>
        <w:tc>
          <w:tcPr>
            <w:tcW w:w="6935" w:type="dxa"/>
            <w:tcBorders>
              <w:top w:val="nil"/>
              <w:left w:val="nil"/>
              <w:bottom w:val="nil"/>
              <w:right w:val="single" w:color="000000" w:sz="8" w:space="0"/>
            </w:tcBorders>
            <w:shd w:val="clear" w:color="auto" w:fill="auto"/>
            <w:vAlign w:val="center"/>
          </w:tcPr>
          <w:p w14:paraId="5CDD471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评标基准价的计算方式：所有通过初步评审合格的比选申请人的报价平均值即为比选总报价的评标基准价，基准价为25分。</w:t>
            </w:r>
          </w:p>
        </w:tc>
        <w:tc>
          <w:tcPr>
            <w:tcW w:w="4311" w:type="dxa"/>
            <w:tcBorders>
              <w:top w:val="nil"/>
              <w:left w:val="nil"/>
              <w:bottom w:val="nil"/>
              <w:right w:val="single" w:color="000000" w:sz="8" w:space="0"/>
            </w:tcBorders>
            <w:shd w:val="clear" w:color="auto" w:fill="auto"/>
            <w:vAlign w:val="center"/>
          </w:tcPr>
          <w:p w14:paraId="21C326D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1.评审小组在评审时发现供应商的报价明显高于其市场报价或低于成本价的，应当通知该供应商书面说明并提供相关证明材料。供应商不能合理说明原因并提供证明材料的，评审小组应将该供应商的采购响应文件做无效处理，并在评审报告中说明。</w:t>
            </w:r>
          </w:p>
        </w:tc>
      </w:tr>
      <w:tr w14:paraId="0D543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616"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A8D16A4">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i w:val="0"/>
                <w:iCs w:val="0"/>
                <w:color w:val="000000"/>
                <w:sz w:val="20"/>
                <w:szCs w:val="20"/>
                <w:u w:val="none"/>
              </w:rPr>
            </w:pPr>
          </w:p>
        </w:tc>
        <w:tc>
          <w:tcPr>
            <w:tcW w:w="1398" w:type="dxa"/>
            <w:gridSpan w:val="2"/>
            <w:vMerge w:val="continue"/>
            <w:tcBorders>
              <w:top w:val="nil"/>
              <w:left w:val="nil"/>
              <w:bottom w:val="single" w:color="000000" w:sz="8" w:space="0"/>
              <w:right w:val="single" w:color="000000" w:sz="8" w:space="0"/>
            </w:tcBorders>
            <w:shd w:val="clear" w:color="auto" w:fill="auto"/>
            <w:vAlign w:val="center"/>
          </w:tcPr>
          <w:p w14:paraId="5E0B0F06">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楷体_GBK" w:hAnsi="方正楷体_GBK" w:eastAsia="方正楷体_GBK" w:cs="方正楷体_GBK"/>
                <w:i w:val="0"/>
                <w:iCs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noWrap/>
            <w:vAlign w:val="center"/>
          </w:tcPr>
          <w:p w14:paraId="37C5C023">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i w:val="0"/>
                <w:iCs w:val="0"/>
                <w:color w:val="000000"/>
                <w:sz w:val="20"/>
                <w:szCs w:val="20"/>
                <w:u w:val="none"/>
              </w:rPr>
            </w:pPr>
          </w:p>
        </w:tc>
        <w:tc>
          <w:tcPr>
            <w:tcW w:w="6935" w:type="dxa"/>
            <w:tcBorders>
              <w:top w:val="nil"/>
              <w:left w:val="nil"/>
              <w:bottom w:val="single" w:color="000000" w:sz="8" w:space="0"/>
              <w:right w:val="single" w:color="000000" w:sz="8" w:space="0"/>
            </w:tcBorders>
            <w:shd w:val="clear" w:color="auto" w:fill="auto"/>
            <w:vAlign w:val="center"/>
          </w:tcPr>
          <w:p w14:paraId="197418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比选申请人的比选总报价与评标基准价相比，每增加1%扣0.2分，每减少1%扣0.1分扣完为止。以上计算取小数点后两位，第三位四舍五入。</w:t>
            </w:r>
          </w:p>
        </w:tc>
        <w:tc>
          <w:tcPr>
            <w:tcW w:w="4311" w:type="dxa"/>
            <w:tcBorders>
              <w:top w:val="nil"/>
              <w:left w:val="nil"/>
              <w:bottom w:val="single" w:color="000000" w:sz="8" w:space="0"/>
              <w:right w:val="single" w:color="000000" w:sz="8" w:space="0"/>
            </w:tcBorders>
            <w:shd w:val="clear" w:color="auto" w:fill="auto"/>
            <w:vAlign w:val="center"/>
          </w:tcPr>
          <w:p w14:paraId="70F4563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2.报价为含税报价，包含学习期间教师和工作人员讲课费、学员学习资料费等。</w:t>
            </w:r>
          </w:p>
        </w:tc>
      </w:tr>
      <w:tr w14:paraId="6BA29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16" w:type="dxa"/>
            <w:vMerge w:val="restart"/>
            <w:tcBorders>
              <w:top w:val="nil"/>
              <w:left w:val="single" w:color="000000" w:sz="8" w:space="0"/>
              <w:bottom w:val="single" w:color="000000" w:sz="8" w:space="0"/>
              <w:right w:val="single" w:color="000000" w:sz="8" w:space="0"/>
            </w:tcBorders>
            <w:shd w:val="clear" w:color="auto" w:fill="auto"/>
            <w:noWrap/>
            <w:vAlign w:val="center"/>
          </w:tcPr>
          <w:p w14:paraId="407A86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586" w:type="dxa"/>
            <w:vMerge w:val="restart"/>
            <w:tcBorders>
              <w:top w:val="nil"/>
              <w:left w:val="nil"/>
              <w:bottom w:val="single" w:color="000000" w:sz="8" w:space="0"/>
              <w:right w:val="single" w:color="000000" w:sz="8" w:space="0"/>
            </w:tcBorders>
            <w:shd w:val="clear" w:color="auto" w:fill="auto"/>
            <w:vAlign w:val="center"/>
          </w:tcPr>
          <w:p w14:paraId="7725F8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商务部分</w:t>
            </w:r>
          </w:p>
        </w:tc>
        <w:tc>
          <w:tcPr>
            <w:tcW w:w="812" w:type="dxa"/>
            <w:vMerge w:val="restart"/>
            <w:tcBorders>
              <w:top w:val="nil"/>
              <w:left w:val="nil"/>
              <w:bottom w:val="single" w:color="000000" w:sz="8" w:space="0"/>
              <w:right w:val="single" w:color="000000" w:sz="8" w:space="0"/>
            </w:tcBorders>
            <w:shd w:val="clear" w:color="auto" w:fill="auto"/>
            <w:vAlign w:val="center"/>
          </w:tcPr>
          <w:p w14:paraId="4D2E9F2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投标人资质</w:t>
            </w:r>
          </w:p>
        </w:tc>
        <w:tc>
          <w:tcPr>
            <w:tcW w:w="914" w:type="dxa"/>
            <w:vMerge w:val="restart"/>
            <w:tcBorders>
              <w:top w:val="nil"/>
              <w:left w:val="nil"/>
              <w:bottom w:val="single" w:color="000000" w:sz="8" w:space="0"/>
              <w:right w:val="single" w:color="000000" w:sz="8" w:space="0"/>
            </w:tcBorders>
            <w:shd w:val="clear" w:color="auto" w:fill="auto"/>
            <w:noWrap/>
            <w:vAlign w:val="center"/>
          </w:tcPr>
          <w:p w14:paraId="6FFEC4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25</w:t>
            </w:r>
          </w:p>
        </w:tc>
        <w:tc>
          <w:tcPr>
            <w:tcW w:w="6935" w:type="dxa"/>
            <w:tcBorders>
              <w:top w:val="nil"/>
              <w:left w:val="nil"/>
              <w:bottom w:val="nil"/>
              <w:right w:val="single" w:color="000000" w:sz="8" w:space="0"/>
            </w:tcBorders>
            <w:shd w:val="clear" w:color="auto" w:fill="auto"/>
            <w:vAlign w:val="center"/>
          </w:tcPr>
          <w:p w14:paraId="7E96539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供应商资质（10分）：</w:t>
            </w:r>
          </w:p>
        </w:tc>
        <w:tc>
          <w:tcPr>
            <w:tcW w:w="4311" w:type="dxa"/>
            <w:vMerge w:val="restart"/>
            <w:tcBorders>
              <w:top w:val="single" w:color="000000" w:sz="8" w:space="0"/>
              <w:left w:val="nil"/>
              <w:bottom w:val="single" w:color="000000" w:sz="8" w:space="0"/>
              <w:right w:val="single" w:color="000000" w:sz="8" w:space="0"/>
            </w:tcBorders>
            <w:shd w:val="clear" w:color="auto" w:fill="auto"/>
            <w:vAlign w:val="center"/>
          </w:tcPr>
          <w:p w14:paraId="580CD91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20"/>
                <w:szCs w:val="20"/>
                <w:u w:val="none"/>
                <w:lang w:val="en-US" w:eastAsia="zh-CN" w:bidi="ar"/>
              </w:rPr>
              <w:t>注：需提供“三证合一”的“营业执照”复印件（加盖公章），营业执照中经营范围须含采购项目中所有内容，具有相应的资质）；提供了营业执照但无培训相关资质的不得分。</w:t>
            </w:r>
          </w:p>
        </w:tc>
      </w:tr>
      <w:tr w14:paraId="58C01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616"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6CEEE23">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i w:val="0"/>
                <w:iCs w:val="0"/>
                <w:color w:val="000000"/>
                <w:sz w:val="20"/>
                <w:szCs w:val="20"/>
                <w:u w:val="none"/>
              </w:rPr>
            </w:pPr>
          </w:p>
        </w:tc>
        <w:tc>
          <w:tcPr>
            <w:tcW w:w="586" w:type="dxa"/>
            <w:vMerge w:val="continue"/>
            <w:tcBorders>
              <w:top w:val="nil"/>
              <w:left w:val="nil"/>
              <w:bottom w:val="single" w:color="000000" w:sz="8" w:space="0"/>
              <w:right w:val="single" w:color="000000" w:sz="8" w:space="0"/>
            </w:tcBorders>
            <w:shd w:val="clear" w:color="auto" w:fill="auto"/>
            <w:vAlign w:val="center"/>
          </w:tcPr>
          <w:p w14:paraId="706BE3E6">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楷体_GBK" w:hAnsi="方正楷体_GBK" w:eastAsia="方正楷体_GBK" w:cs="方正楷体_GBK"/>
                <w:i w:val="0"/>
                <w:iCs w:val="0"/>
                <w:color w:val="000000"/>
                <w:sz w:val="20"/>
                <w:szCs w:val="20"/>
                <w:u w:val="none"/>
              </w:rPr>
            </w:pPr>
          </w:p>
        </w:tc>
        <w:tc>
          <w:tcPr>
            <w:tcW w:w="812" w:type="dxa"/>
            <w:vMerge w:val="continue"/>
            <w:tcBorders>
              <w:top w:val="nil"/>
              <w:left w:val="nil"/>
              <w:bottom w:val="single" w:color="000000" w:sz="8" w:space="0"/>
              <w:right w:val="single" w:color="000000" w:sz="8" w:space="0"/>
            </w:tcBorders>
            <w:shd w:val="clear" w:color="auto" w:fill="auto"/>
            <w:vAlign w:val="center"/>
          </w:tcPr>
          <w:p w14:paraId="27F507B8">
            <w:pPr>
              <w:keepNext w:val="0"/>
              <w:keepLines w:val="0"/>
              <w:pageBreakBefore w:val="0"/>
              <w:widowControl/>
              <w:kinsoku/>
              <w:wordWrap/>
              <w:overflowPunct/>
              <w:topLinePunct w:val="0"/>
              <w:autoSpaceDE/>
              <w:autoSpaceDN/>
              <w:bidi w:val="0"/>
              <w:adjustRightInd/>
              <w:snapToGrid/>
              <w:spacing w:line="300" w:lineRule="exact"/>
              <w:jc w:val="left"/>
              <w:rPr>
                <w:rFonts w:hint="eastAsia" w:ascii="方正楷体_GBK" w:hAnsi="方正楷体_GBK" w:eastAsia="方正楷体_GBK" w:cs="方正楷体_GBK"/>
                <w:i w:val="0"/>
                <w:iCs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noWrap/>
            <w:vAlign w:val="center"/>
          </w:tcPr>
          <w:p w14:paraId="05F5860B">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i w:val="0"/>
                <w:iCs w:val="0"/>
                <w:color w:val="000000"/>
                <w:sz w:val="20"/>
                <w:szCs w:val="20"/>
                <w:u w:val="none"/>
              </w:rPr>
            </w:pPr>
          </w:p>
        </w:tc>
        <w:tc>
          <w:tcPr>
            <w:tcW w:w="6935" w:type="dxa"/>
            <w:tcBorders>
              <w:top w:val="nil"/>
              <w:left w:val="nil"/>
              <w:bottom w:val="nil"/>
              <w:right w:val="single" w:color="000000" w:sz="8" w:space="0"/>
            </w:tcBorders>
            <w:shd w:val="clear" w:color="auto" w:fill="auto"/>
            <w:vAlign w:val="center"/>
          </w:tcPr>
          <w:p w14:paraId="44A65CA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①</w:t>
            </w:r>
            <w:r>
              <w:rPr>
                <w:rFonts w:hint="eastAsia" w:ascii="方正仿宋_GBK" w:hAnsi="方正仿宋_GBK" w:eastAsia="方正仿宋_GBK" w:cs="方正仿宋_GBK"/>
                <w:b/>
                <w:bCs/>
                <w:i w:val="0"/>
                <w:iCs w:val="0"/>
                <w:color w:val="000000"/>
                <w:kern w:val="0"/>
                <w:sz w:val="21"/>
                <w:szCs w:val="21"/>
                <w:u w:val="none"/>
                <w:lang w:val="en-US" w:eastAsia="zh-CN" w:bidi="ar"/>
              </w:rPr>
              <w:t>供应商注册资本：</w:t>
            </w:r>
            <w:r>
              <w:rPr>
                <w:rFonts w:hint="eastAsia" w:ascii="方正仿宋_GBK" w:hAnsi="方正仿宋_GBK" w:eastAsia="方正仿宋_GBK" w:cs="方正仿宋_GBK"/>
                <w:i w:val="0"/>
                <w:iCs w:val="0"/>
                <w:color w:val="000000"/>
                <w:kern w:val="0"/>
                <w:sz w:val="21"/>
                <w:szCs w:val="21"/>
                <w:u w:val="none"/>
                <w:lang w:val="en-US" w:eastAsia="zh-CN" w:bidi="ar"/>
              </w:rPr>
              <w:t>注册资本（人民币），1000万≤注册资本＜2000万，得1分；2000万≤注册资本＜3000万，得2分；注册资本≥3000万，得3分；其他不得分。</w:t>
            </w:r>
          </w:p>
        </w:tc>
        <w:tc>
          <w:tcPr>
            <w:tcW w:w="4311" w:type="dxa"/>
            <w:vMerge w:val="continue"/>
            <w:tcBorders>
              <w:top w:val="single" w:color="000000" w:sz="8" w:space="0"/>
              <w:left w:val="nil"/>
              <w:bottom w:val="single" w:color="000000" w:sz="8" w:space="0"/>
              <w:right w:val="single" w:color="000000" w:sz="8" w:space="0"/>
            </w:tcBorders>
            <w:shd w:val="clear" w:color="auto" w:fill="auto"/>
            <w:vAlign w:val="center"/>
          </w:tcPr>
          <w:p w14:paraId="60CDFED1">
            <w:pPr>
              <w:keepNext w:val="0"/>
              <w:keepLines w:val="0"/>
              <w:pageBreakBefore w:val="0"/>
              <w:widowControl/>
              <w:kinsoku/>
              <w:wordWrap/>
              <w:overflowPunct/>
              <w:topLinePunct w:val="0"/>
              <w:autoSpaceDE/>
              <w:autoSpaceDN/>
              <w:bidi w:val="0"/>
              <w:adjustRightInd/>
              <w:snapToGrid/>
              <w:spacing w:line="300" w:lineRule="exact"/>
              <w:jc w:val="left"/>
              <w:rPr>
                <w:rFonts w:hint="eastAsia" w:ascii="方正仿宋_GBK" w:hAnsi="方正仿宋_GBK" w:eastAsia="方正仿宋_GBK" w:cs="方正仿宋_GBK"/>
                <w:i w:val="0"/>
                <w:iCs w:val="0"/>
                <w:color w:val="000000"/>
                <w:sz w:val="16"/>
                <w:szCs w:val="16"/>
                <w:u w:val="none"/>
              </w:rPr>
            </w:pPr>
          </w:p>
        </w:tc>
      </w:tr>
      <w:tr w14:paraId="7FAFC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616"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3756B1D">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i w:val="0"/>
                <w:iCs w:val="0"/>
                <w:color w:val="000000"/>
                <w:sz w:val="20"/>
                <w:szCs w:val="20"/>
                <w:u w:val="none"/>
              </w:rPr>
            </w:pPr>
          </w:p>
        </w:tc>
        <w:tc>
          <w:tcPr>
            <w:tcW w:w="586" w:type="dxa"/>
            <w:vMerge w:val="continue"/>
            <w:tcBorders>
              <w:top w:val="nil"/>
              <w:left w:val="nil"/>
              <w:bottom w:val="single" w:color="000000" w:sz="8" w:space="0"/>
              <w:right w:val="single" w:color="000000" w:sz="8" w:space="0"/>
            </w:tcBorders>
            <w:shd w:val="clear" w:color="auto" w:fill="auto"/>
            <w:vAlign w:val="center"/>
          </w:tcPr>
          <w:p w14:paraId="0632F74D">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楷体_GBK" w:hAnsi="方正楷体_GBK" w:eastAsia="方正楷体_GBK" w:cs="方正楷体_GBK"/>
                <w:i w:val="0"/>
                <w:iCs w:val="0"/>
                <w:color w:val="000000"/>
                <w:sz w:val="20"/>
                <w:szCs w:val="20"/>
                <w:u w:val="none"/>
              </w:rPr>
            </w:pPr>
          </w:p>
        </w:tc>
        <w:tc>
          <w:tcPr>
            <w:tcW w:w="812" w:type="dxa"/>
            <w:vMerge w:val="continue"/>
            <w:tcBorders>
              <w:top w:val="nil"/>
              <w:left w:val="nil"/>
              <w:bottom w:val="single" w:color="000000" w:sz="8" w:space="0"/>
              <w:right w:val="single" w:color="000000" w:sz="8" w:space="0"/>
            </w:tcBorders>
            <w:shd w:val="clear" w:color="auto" w:fill="auto"/>
            <w:vAlign w:val="center"/>
          </w:tcPr>
          <w:p w14:paraId="54F0E485">
            <w:pPr>
              <w:keepNext w:val="0"/>
              <w:keepLines w:val="0"/>
              <w:pageBreakBefore w:val="0"/>
              <w:widowControl/>
              <w:kinsoku/>
              <w:wordWrap/>
              <w:overflowPunct/>
              <w:topLinePunct w:val="0"/>
              <w:autoSpaceDE/>
              <w:autoSpaceDN/>
              <w:bidi w:val="0"/>
              <w:adjustRightInd/>
              <w:snapToGrid/>
              <w:spacing w:line="300" w:lineRule="exact"/>
              <w:jc w:val="left"/>
              <w:rPr>
                <w:rFonts w:hint="eastAsia" w:ascii="方正楷体_GBK" w:hAnsi="方正楷体_GBK" w:eastAsia="方正楷体_GBK" w:cs="方正楷体_GBK"/>
                <w:i w:val="0"/>
                <w:iCs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noWrap/>
            <w:vAlign w:val="center"/>
          </w:tcPr>
          <w:p w14:paraId="737F60C8">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i w:val="0"/>
                <w:iCs w:val="0"/>
                <w:color w:val="000000"/>
                <w:sz w:val="20"/>
                <w:szCs w:val="20"/>
                <w:u w:val="none"/>
              </w:rPr>
            </w:pPr>
          </w:p>
        </w:tc>
        <w:tc>
          <w:tcPr>
            <w:tcW w:w="6935" w:type="dxa"/>
            <w:tcBorders>
              <w:top w:val="nil"/>
              <w:left w:val="nil"/>
              <w:bottom w:val="nil"/>
              <w:right w:val="single" w:color="000000" w:sz="8" w:space="0"/>
            </w:tcBorders>
            <w:shd w:val="clear" w:color="auto" w:fill="auto"/>
            <w:vAlign w:val="center"/>
          </w:tcPr>
          <w:p w14:paraId="5F4F0D5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②</w:t>
            </w:r>
            <w:r>
              <w:rPr>
                <w:rFonts w:hint="eastAsia" w:ascii="方正仿宋_GBK" w:hAnsi="方正仿宋_GBK" w:eastAsia="方正仿宋_GBK" w:cs="方正仿宋_GBK"/>
                <w:b/>
                <w:bCs/>
                <w:i w:val="0"/>
                <w:iCs w:val="0"/>
                <w:color w:val="000000"/>
                <w:kern w:val="0"/>
                <w:sz w:val="21"/>
                <w:szCs w:val="21"/>
                <w:u w:val="none"/>
                <w:lang w:val="en-US" w:eastAsia="zh-CN" w:bidi="ar"/>
              </w:rPr>
              <w:t>营收规模：</w:t>
            </w:r>
            <w:r>
              <w:rPr>
                <w:rFonts w:hint="eastAsia" w:ascii="方正仿宋_GBK" w:hAnsi="方正仿宋_GBK" w:eastAsia="方正仿宋_GBK" w:cs="方正仿宋_GBK"/>
                <w:i w:val="0"/>
                <w:iCs w:val="0"/>
                <w:color w:val="000000"/>
                <w:kern w:val="0"/>
                <w:sz w:val="21"/>
                <w:szCs w:val="21"/>
                <w:u w:val="none"/>
                <w:lang w:val="en-US" w:eastAsia="zh-CN" w:bidi="ar"/>
              </w:rPr>
              <w:t>2023年（人民币）：10亿≤总营收＜30亿，得2分；总营收≥30亿，得4分，其他不得分。</w:t>
            </w:r>
          </w:p>
        </w:tc>
        <w:tc>
          <w:tcPr>
            <w:tcW w:w="4311" w:type="dxa"/>
            <w:vMerge w:val="continue"/>
            <w:tcBorders>
              <w:top w:val="single" w:color="000000" w:sz="8" w:space="0"/>
              <w:left w:val="nil"/>
              <w:bottom w:val="single" w:color="000000" w:sz="8" w:space="0"/>
              <w:right w:val="single" w:color="000000" w:sz="8" w:space="0"/>
            </w:tcBorders>
            <w:shd w:val="clear" w:color="auto" w:fill="auto"/>
            <w:vAlign w:val="center"/>
          </w:tcPr>
          <w:p w14:paraId="47DCA0FD">
            <w:pPr>
              <w:keepNext w:val="0"/>
              <w:keepLines w:val="0"/>
              <w:pageBreakBefore w:val="0"/>
              <w:widowControl/>
              <w:kinsoku/>
              <w:wordWrap/>
              <w:overflowPunct/>
              <w:topLinePunct w:val="0"/>
              <w:autoSpaceDE/>
              <w:autoSpaceDN/>
              <w:bidi w:val="0"/>
              <w:adjustRightInd/>
              <w:snapToGrid/>
              <w:spacing w:line="300" w:lineRule="exact"/>
              <w:jc w:val="left"/>
              <w:rPr>
                <w:rFonts w:hint="eastAsia" w:ascii="方正仿宋_GBK" w:hAnsi="方正仿宋_GBK" w:eastAsia="方正仿宋_GBK" w:cs="方正仿宋_GBK"/>
                <w:i w:val="0"/>
                <w:iCs w:val="0"/>
                <w:color w:val="000000"/>
                <w:sz w:val="16"/>
                <w:szCs w:val="16"/>
                <w:u w:val="none"/>
              </w:rPr>
            </w:pPr>
          </w:p>
        </w:tc>
      </w:tr>
      <w:tr w14:paraId="48F4A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616"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5E13CA4">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i w:val="0"/>
                <w:iCs w:val="0"/>
                <w:color w:val="000000"/>
                <w:sz w:val="20"/>
                <w:szCs w:val="20"/>
                <w:u w:val="none"/>
              </w:rPr>
            </w:pPr>
          </w:p>
        </w:tc>
        <w:tc>
          <w:tcPr>
            <w:tcW w:w="586" w:type="dxa"/>
            <w:vMerge w:val="continue"/>
            <w:tcBorders>
              <w:top w:val="nil"/>
              <w:left w:val="nil"/>
              <w:bottom w:val="single" w:color="000000" w:sz="8" w:space="0"/>
              <w:right w:val="single" w:color="000000" w:sz="8" w:space="0"/>
            </w:tcBorders>
            <w:shd w:val="clear" w:color="auto" w:fill="auto"/>
            <w:vAlign w:val="center"/>
          </w:tcPr>
          <w:p w14:paraId="2DBB433D">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楷体_GBK" w:hAnsi="方正楷体_GBK" w:eastAsia="方正楷体_GBK" w:cs="方正楷体_GBK"/>
                <w:i w:val="0"/>
                <w:iCs w:val="0"/>
                <w:color w:val="000000"/>
                <w:sz w:val="20"/>
                <w:szCs w:val="20"/>
                <w:u w:val="none"/>
              </w:rPr>
            </w:pPr>
          </w:p>
        </w:tc>
        <w:tc>
          <w:tcPr>
            <w:tcW w:w="812" w:type="dxa"/>
            <w:vMerge w:val="continue"/>
            <w:tcBorders>
              <w:top w:val="nil"/>
              <w:left w:val="nil"/>
              <w:bottom w:val="single" w:color="000000" w:sz="8" w:space="0"/>
              <w:right w:val="single" w:color="000000" w:sz="8" w:space="0"/>
            </w:tcBorders>
            <w:shd w:val="clear" w:color="auto" w:fill="auto"/>
            <w:vAlign w:val="center"/>
          </w:tcPr>
          <w:p w14:paraId="17428101">
            <w:pPr>
              <w:keepNext w:val="0"/>
              <w:keepLines w:val="0"/>
              <w:pageBreakBefore w:val="0"/>
              <w:widowControl/>
              <w:kinsoku/>
              <w:wordWrap/>
              <w:overflowPunct/>
              <w:topLinePunct w:val="0"/>
              <w:autoSpaceDE/>
              <w:autoSpaceDN/>
              <w:bidi w:val="0"/>
              <w:adjustRightInd/>
              <w:snapToGrid/>
              <w:spacing w:line="300" w:lineRule="exact"/>
              <w:jc w:val="left"/>
              <w:rPr>
                <w:rFonts w:hint="eastAsia" w:ascii="方正楷体_GBK" w:hAnsi="方正楷体_GBK" w:eastAsia="方正楷体_GBK" w:cs="方正楷体_GBK"/>
                <w:i w:val="0"/>
                <w:iCs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noWrap/>
            <w:vAlign w:val="center"/>
          </w:tcPr>
          <w:p w14:paraId="7DC426EC">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i w:val="0"/>
                <w:iCs w:val="0"/>
                <w:color w:val="000000"/>
                <w:sz w:val="20"/>
                <w:szCs w:val="20"/>
                <w:u w:val="none"/>
              </w:rPr>
            </w:pPr>
          </w:p>
        </w:tc>
        <w:tc>
          <w:tcPr>
            <w:tcW w:w="6935" w:type="dxa"/>
            <w:tcBorders>
              <w:top w:val="nil"/>
              <w:left w:val="nil"/>
              <w:bottom w:val="single" w:color="000000" w:sz="8" w:space="0"/>
              <w:right w:val="single" w:color="000000" w:sz="8" w:space="0"/>
            </w:tcBorders>
            <w:shd w:val="clear" w:color="auto" w:fill="auto"/>
            <w:vAlign w:val="center"/>
          </w:tcPr>
          <w:p w14:paraId="3509E64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③</w:t>
            </w:r>
            <w:r>
              <w:rPr>
                <w:rFonts w:hint="eastAsia" w:ascii="方正仿宋_GBK" w:hAnsi="方正仿宋_GBK" w:eastAsia="方正仿宋_GBK" w:cs="方正仿宋_GBK"/>
                <w:b/>
                <w:bCs/>
                <w:i w:val="0"/>
                <w:iCs w:val="0"/>
                <w:color w:val="000000"/>
                <w:kern w:val="0"/>
                <w:sz w:val="21"/>
                <w:szCs w:val="21"/>
                <w:u w:val="none"/>
                <w:lang w:val="en-US" w:eastAsia="zh-CN" w:bidi="ar"/>
              </w:rPr>
              <w:t>财务报表：</w:t>
            </w:r>
            <w:r>
              <w:rPr>
                <w:rFonts w:hint="eastAsia" w:ascii="方正仿宋_GBK" w:hAnsi="方正仿宋_GBK" w:eastAsia="方正仿宋_GBK" w:cs="方正仿宋_GBK"/>
                <w:i w:val="0"/>
                <w:iCs w:val="0"/>
                <w:color w:val="000000"/>
                <w:kern w:val="0"/>
                <w:sz w:val="21"/>
                <w:szCs w:val="21"/>
                <w:u w:val="none"/>
                <w:lang w:val="en-US" w:eastAsia="zh-CN" w:bidi="ar"/>
              </w:rPr>
              <w:t>提供2022年、2023、2024年度经第三方审计的财务报表，3年利润为正得3分，2年利润为正得2分，1年利润得正得1分，其他不得分。</w:t>
            </w:r>
          </w:p>
        </w:tc>
        <w:tc>
          <w:tcPr>
            <w:tcW w:w="4311" w:type="dxa"/>
            <w:vMerge w:val="continue"/>
            <w:tcBorders>
              <w:top w:val="single" w:color="000000" w:sz="8" w:space="0"/>
              <w:left w:val="nil"/>
              <w:bottom w:val="single" w:color="000000" w:sz="8" w:space="0"/>
              <w:right w:val="single" w:color="000000" w:sz="8" w:space="0"/>
            </w:tcBorders>
            <w:shd w:val="clear" w:color="auto" w:fill="auto"/>
            <w:vAlign w:val="center"/>
          </w:tcPr>
          <w:p w14:paraId="2EDEA8EF">
            <w:pPr>
              <w:keepNext w:val="0"/>
              <w:keepLines w:val="0"/>
              <w:pageBreakBefore w:val="0"/>
              <w:widowControl/>
              <w:kinsoku/>
              <w:wordWrap/>
              <w:overflowPunct/>
              <w:topLinePunct w:val="0"/>
              <w:autoSpaceDE/>
              <w:autoSpaceDN/>
              <w:bidi w:val="0"/>
              <w:adjustRightInd/>
              <w:snapToGrid/>
              <w:spacing w:line="300" w:lineRule="exact"/>
              <w:jc w:val="left"/>
              <w:rPr>
                <w:rFonts w:hint="eastAsia" w:ascii="方正仿宋_GBK" w:hAnsi="方正仿宋_GBK" w:eastAsia="方正仿宋_GBK" w:cs="方正仿宋_GBK"/>
                <w:i w:val="0"/>
                <w:iCs w:val="0"/>
                <w:color w:val="000000"/>
                <w:sz w:val="16"/>
                <w:szCs w:val="16"/>
                <w:u w:val="none"/>
              </w:rPr>
            </w:pPr>
          </w:p>
        </w:tc>
      </w:tr>
      <w:tr w14:paraId="273F4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616"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BD63FAA">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i w:val="0"/>
                <w:iCs w:val="0"/>
                <w:color w:val="000000"/>
                <w:sz w:val="20"/>
                <w:szCs w:val="20"/>
                <w:u w:val="none"/>
              </w:rPr>
            </w:pPr>
          </w:p>
        </w:tc>
        <w:tc>
          <w:tcPr>
            <w:tcW w:w="586" w:type="dxa"/>
            <w:vMerge w:val="continue"/>
            <w:tcBorders>
              <w:top w:val="nil"/>
              <w:left w:val="nil"/>
              <w:bottom w:val="single" w:color="000000" w:sz="8" w:space="0"/>
              <w:right w:val="single" w:color="000000" w:sz="8" w:space="0"/>
            </w:tcBorders>
            <w:shd w:val="clear" w:color="auto" w:fill="auto"/>
            <w:vAlign w:val="center"/>
          </w:tcPr>
          <w:p w14:paraId="6666EBBF">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楷体_GBK" w:hAnsi="方正楷体_GBK" w:eastAsia="方正楷体_GBK" w:cs="方正楷体_GBK"/>
                <w:i w:val="0"/>
                <w:iCs w:val="0"/>
                <w:color w:val="000000"/>
                <w:sz w:val="20"/>
                <w:szCs w:val="20"/>
                <w:u w:val="none"/>
              </w:rPr>
            </w:pPr>
          </w:p>
        </w:tc>
        <w:tc>
          <w:tcPr>
            <w:tcW w:w="812" w:type="dxa"/>
            <w:vMerge w:val="restart"/>
            <w:tcBorders>
              <w:top w:val="nil"/>
              <w:left w:val="nil"/>
              <w:bottom w:val="single" w:color="000000" w:sz="8" w:space="0"/>
              <w:right w:val="single" w:color="000000" w:sz="8" w:space="0"/>
            </w:tcBorders>
            <w:shd w:val="clear" w:color="auto" w:fill="auto"/>
            <w:vAlign w:val="center"/>
          </w:tcPr>
          <w:p w14:paraId="46D595E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投标人业绩</w:t>
            </w:r>
          </w:p>
        </w:tc>
        <w:tc>
          <w:tcPr>
            <w:tcW w:w="914" w:type="dxa"/>
            <w:vMerge w:val="continue"/>
            <w:tcBorders>
              <w:top w:val="nil"/>
              <w:left w:val="nil"/>
              <w:bottom w:val="single" w:color="000000" w:sz="8" w:space="0"/>
              <w:right w:val="single" w:color="000000" w:sz="8" w:space="0"/>
            </w:tcBorders>
            <w:shd w:val="clear" w:color="auto" w:fill="auto"/>
            <w:noWrap/>
            <w:vAlign w:val="center"/>
          </w:tcPr>
          <w:p w14:paraId="50C74C37">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i w:val="0"/>
                <w:iCs w:val="0"/>
                <w:color w:val="000000"/>
                <w:sz w:val="20"/>
                <w:szCs w:val="20"/>
                <w:u w:val="none"/>
              </w:rPr>
            </w:pPr>
          </w:p>
        </w:tc>
        <w:tc>
          <w:tcPr>
            <w:tcW w:w="6935" w:type="dxa"/>
            <w:tcBorders>
              <w:top w:val="nil"/>
              <w:left w:val="nil"/>
              <w:bottom w:val="nil"/>
              <w:right w:val="single" w:color="000000" w:sz="8" w:space="0"/>
            </w:tcBorders>
            <w:shd w:val="clear" w:color="auto" w:fill="auto"/>
            <w:vAlign w:val="center"/>
          </w:tcPr>
          <w:p w14:paraId="0BFEB74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2.投标人2023年1月1日以来，与政府或企、事业单位、央国企、重庆市属国有企业等各类客户合作开展的职业化训练培训项目。（15分）</w:t>
            </w:r>
          </w:p>
        </w:tc>
        <w:tc>
          <w:tcPr>
            <w:tcW w:w="4311" w:type="dxa"/>
            <w:vMerge w:val="restart"/>
            <w:tcBorders>
              <w:top w:val="nil"/>
              <w:left w:val="nil"/>
              <w:bottom w:val="single" w:color="000000" w:sz="8" w:space="0"/>
              <w:right w:val="single" w:color="000000" w:sz="8" w:space="0"/>
            </w:tcBorders>
            <w:shd w:val="clear" w:color="auto" w:fill="auto"/>
            <w:vAlign w:val="center"/>
          </w:tcPr>
          <w:p w14:paraId="3BF8C64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注：须提供合同（甲乙双方名称页和签字盖章页）并加盖投标人鲜章，否则不得分。</w:t>
            </w:r>
          </w:p>
        </w:tc>
      </w:tr>
      <w:tr w14:paraId="7AB1A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16"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070E1D1">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i w:val="0"/>
                <w:iCs w:val="0"/>
                <w:color w:val="000000"/>
                <w:sz w:val="20"/>
                <w:szCs w:val="20"/>
                <w:u w:val="none"/>
              </w:rPr>
            </w:pPr>
          </w:p>
        </w:tc>
        <w:tc>
          <w:tcPr>
            <w:tcW w:w="586" w:type="dxa"/>
            <w:vMerge w:val="continue"/>
            <w:tcBorders>
              <w:top w:val="nil"/>
              <w:left w:val="nil"/>
              <w:bottom w:val="single" w:color="000000" w:sz="8" w:space="0"/>
              <w:right w:val="single" w:color="000000" w:sz="8" w:space="0"/>
            </w:tcBorders>
            <w:shd w:val="clear" w:color="auto" w:fill="auto"/>
            <w:vAlign w:val="center"/>
          </w:tcPr>
          <w:p w14:paraId="195A13DC">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楷体_GBK" w:hAnsi="方正楷体_GBK" w:eastAsia="方正楷体_GBK" w:cs="方正楷体_GBK"/>
                <w:i w:val="0"/>
                <w:iCs w:val="0"/>
                <w:color w:val="000000"/>
                <w:sz w:val="20"/>
                <w:szCs w:val="20"/>
                <w:u w:val="none"/>
              </w:rPr>
            </w:pPr>
          </w:p>
        </w:tc>
        <w:tc>
          <w:tcPr>
            <w:tcW w:w="812" w:type="dxa"/>
            <w:vMerge w:val="continue"/>
            <w:tcBorders>
              <w:top w:val="nil"/>
              <w:left w:val="nil"/>
              <w:bottom w:val="single" w:color="000000" w:sz="8" w:space="0"/>
              <w:right w:val="single" w:color="000000" w:sz="8" w:space="0"/>
            </w:tcBorders>
            <w:shd w:val="clear" w:color="auto" w:fill="auto"/>
            <w:vAlign w:val="center"/>
          </w:tcPr>
          <w:p w14:paraId="7A4AC618">
            <w:pPr>
              <w:keepNext w:val="0"/>
              <w:keepLines w:val="0"/>
              <w:pageBreakBefore w:val="0"/>
              <w:widowControl/>
              <w:kinsoku/>
              <w:wordWrap/>
              <w:overflowPunct/>
              <w:topLinePunct w:val="0"/>
              <w:autoSpaceDE/>
              <w:autoSpaceDN/>
              <w:bidi w:val="0"/>
              <w:adjustRightInd/>
              <w:snapToGrid/>
              <w:spacing w:line="300" w:lineRule="exact"/>
              <w:jc w:val="left"/>
              <w:rPr>
                <w:rFonts w:hint="eastAsia" w:ascii="方正楷体_GBK" w:hAnsi="方正楷体_GBK" w:eastAsia="方正楷体_GBK" w:cs="方正楷体_GBK"/>
                <w:i w:val="0"/>
                <w:iCs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noWrap/>
            <w:vAlign w:val="center"/>
          </w:tcPr>
          <w:p w14:paraId="1347DFDB">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i w:val="0"/>
                <w:iCs w:val="0"/>
                <w:color w:val="000000"/>
                <w:sz w:val="20"/>
                <w:szCs w:val="20"/>
                <w:u w:val="none"/>
              </w:rPr>
            </w:pPr>
          </w:p>
        </w:tc>
        <w:tc>
          <w:tcPr>
            <w:tcW w:w="6935" w:type="dxa"/>
            <w:tcBorders>
              <w:top w:val="nil"/>
              <w:left w:val="nil"/>
              <w:bottom w:val="nil"/>
              <w:right w:val="single" w:color="000000" w:sz="8" w:space="0"/>
            </w:tcBorders>
            <w:shd w:val="clear" w:color="auto" w:fill="auto"/>
            <w:vAlign w:val="center"/>
          </w:tcPr>
          <w:p w14:paraId="6180C1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①提供3个及以上案例的，得15分；</w:t>
            </w:r>
          </w:p>
        </w:tc>
        <w:tc>
          <w:tcPr>
            <w:tcW w:w="4311" w:type="dxa"/>
            <w:vMerge w:val="continue"/>
            <w:tcBorders>
              <w:top w:val="nil"/>
              <w:left w:val="nil"/>
              <w:bottom w:val="single" w:color="000000" w:sz="8" w:space="0"/>
              <w:right w:val="single" w:color="000000" w:sz="8" w:space="0"/>
            </w:tcBorders>
            <w:shd w:val="clear" w:color="auto" w:fill="auto"/>
            <w:vAlign w:val="center"/>
          </w:tcPr>
          <w:p w14:paraId="557ECD6F">
            <w:pPr>
              <w:keepNext w:val="0"/>
              <w:keepLines w:val="0"/>
              <w:pageBreakBefore w:val="0"/>
              <w:widowControl/>
              <w:kinsoku/>
              <w:wordWrap/>
              <w:overflowPunct/>
              <w:topLinePunct w:val="0"/>
              <w:autoSpaceDE/>
              <w:autoSpaceDN/>
              <w:bidi w:val="0"/>
              <w:adjustRightInd/>
              <w:snapToGrid/>
              <w:spacing w:line="300" w:lineRule="exact"/>
              <w:jc w:val="left"/>
              <w:rPr>
                <w:rFonts w:hint="eastAsia" w:ascii="方正仿宋_GBK" w:hAnsi="方正仿宋_GBK" w:eastAsia="方正仿宋_GBK" w:cs="方正仿宋_GBK"/>
                <w:i w:val="0"/>
                <w:iCs w:val="0"/>
                <w:color w:val="000000"/>
                <w:sz w:val="20"/>
                <w:szCs w:val="20"/>
                <w:u w:val="none"/>
              </w:rPr>
            </w:pPr>
          </w:p>
        </w:tc>
      </w:tr>
      <w:tr w14:paraId="41826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16"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2BCE349">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i w:val="0"/>
                <w:iCs w:val="0"/>
                <w:color w:val="000000"/>
                <w:sz w:val="20"/>
                <w:szCs w:val="20"/>
                <w:u w:val="none"/>
              </w:rPr>
            </w:pPr>
          </w:p>
        </w:tc>
        <w:tc>
          <w:tcPr>
            <w:tcW w:w="586" w:type="dxa"/>
            <w:vMerge w:val="continue"/>
            <w:tcBorders>
              <w:top w:val="nil"/>
              <w:left w:val="nil"/>
              <w:bottom w:val="single" w:color="000000" w:sz="8" w:space="0"/>
              <w:right w:val="single" w:color="000000" w:sz="8" w:space="0"/>
            </w:tcBorders>
            <w:shd w:val="clear" w:color="auto" w:fill="auto"/>
            <w:vAlign w:val="center"/>
          </w:tcPr>
          <w:p w14:paraId="00C0EF8B">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楷体_GBK" w:hAnsi="方正楷体_GBK" w:eastAsia="方正楷体_GBK" w:cs="方正楷体_GBK"/>
                <w:i w:val="0"/>
                <w:iCs w:val="0"/>
                <w:color w:val="000000"/>
                <w:sz w:val="20"/>
                <w:szCs w:val="20"/>
                <w:u w:val="none"/>
              </w:rPr>
            </w:pPr>
          </w:p>
        </w:tc>
        <w:tc>
          <w:tcPr>
            <w:tcW w:w="812" w:type="dxa"/>
            <w:vMerge w:val="continue"/>
            <w:tcBorders>
              <w:top w:val="nil"/>
              <w:left w:val="nil"/>
              <w:bottom w:val="single" w:color="000000" w:sz="8" w:space="0"/>
              <w:right w:val="single" w:color="000000" w:sz="8" w:space="0"/>
            </w:tcBorders>
            <w:shd w:val="clear" w:color="auto" w:fill="auto"/>
            <w:vAlign w:val="center"/>
          </w:tcPr>
          <w:p w14:paraId="22821D98">
            <w:pPr>
              <w:keepNext w:val="0"/>
              <w:keepLines w:val="0"/>
              <w:pageBreakBefore w:val="0"/>
              <w:widowControl/>
              <w:kinsoku/>
              <w:wordWrap/>
              <w:overflowPunct/>
              <w:topLinePunct w:val="0"/>
              <w:autoSpaceDE/>
              <w:autoSpaceDN/>
              <w:bidi w:val="0"/>
              <w:adjustRightInd/>
              <w:snapToGrid/>
              <w:spacing w:line="300" w:lineRule="exact"/>
              <w:jc w:val="left"/>
              <w:rPr>
                <w:rFonts w:hint="eastAsia" w:ascii="方正楷体_GBK" w:hAnsi="方正楷体_GBK" w:eastAsia="方正楷体_GBK" w:cs="方正楷体_GBK"/>
                <w:i w:val="0"/>
                <w:iCs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noWrap/>
            <w:vAlign w:val="center"/>
          </w:tcPr>
          <w:p w14:paraId="46AA2413">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i w:val="0"/>
                <w:iCs w:val="0"/>
                <w:color w:val="000000"/>
                <w:sz w:val="20"/>
                <w:szCs w:val="20"/>
                <w:u w:val="none"/>
              </w:rPr>
            </w:pPr>
          </w:p>
        </w:tc>
        <w:tc>
          <w:tcPr>
            <w:tcW w:w="6935" w:type="dxa"/>
            <w:tcBorders>
              <w:top w:val="nil"/>
              <w:left w:val="nil"/>
              <w:bottom w:val="nil"/>
              <w:right w:val="single" w:color="000000" w:sz="8" w:space="0"/>
            </w:tcBorders>
            <w:shd w:val="clear" w:color="auto" w:fill="auto"/>
            <w:vAlign w:val="center"/>
          </w:tcPr>
          <w:p w14:paraId="6B61283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②提供2个案例的，得10分；</w:t>
            </w:r>
          </w:p>
        </w:tc>
        <w:tc>
          <w:tcPr>
            <w:tcW w:w="4311" w:type="dxa"/>
            <w:vMerge w:val="continue"/>
            <w:tcBorders>
              <w:top w:val="nil"/>
              <w:left w:val="nil"/>
              <w:bottom w:val="single" w:color="000000" w:sz="8" w:space="0"/>
              <w:right w:val="single" w:color="000000" w:sz="8" w:space="0"/>
            </w:tcBorders>
            <w:shd w:val="clear" w:color="auto" w:fill="auto"/>
            <w:vAlign w:val="center"/>
          </w:tcPr>
          <w:p w14:paraId="0590D5E9">
            <w:pPr>
              <w:keepNext w:val="0"/>
              <w:keepLines w:val="0"/>
              <w:pageBreakBefore w:val="0"/>
              <w:widowControl/>
              <w:kinsoku/>
              <w:wordWrap/>
              <w:overflowPunct/>
              <w:topLinePunct w:val="0"/>
              <w:autoSpaceDE/>
              <w:autoSpaceDN/>
              <w:bidi w:val="0"/>
              <w:adjustRightInd/>
              <w:snapToGrid/>
              <w:spacing w:line="300" w:lineRule="exact"/>
              <w:jc w:val="left"/>
              <w:rPr>
                <w:rFonts w:hint="eastAsia" w:ascii="方正仿宋_GBK" w:hAnsi="方正仿宋_GBK" w:eastAsia="方正仿宋_GBK" w:cs="方正仿宋_GBK"/>
                <w:i w:val="0"/>
                <w:iCs w:val="0"/>
                <w:color w:val="000000"/>
                <w:sz w:val="20"/>
                <w:szCs w:val="20"/>
                <w:u w:val="none"/>
              </w:rPr>
            </w:pPr>
          </w:p>
        </w:tc>
      </w:tr>
      <w:tr w14:paraId="42893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16"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8776D91">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i w:val="0"/>
                <w:iCs w:val="0"/>
                <w:color w:val="000000"/>
                <w:sz w:val="20"/>
                <w:szCs w:val="20"/>
                <w:u w:val="none"/>
              </w:rPr>
            </w:pPr>
          </w:p>
        </w:tc>
        <w:tc>
          <w:tcPr>
            <w:tcW w:w="586" w:type="dxa"/>
            <w:vMerge w:val="continue"/>
            <w:tcBorders>
              <w:top w:val="nil"/>
              <w:left w:val="nil"/>
              <w:bottom w:val="single" w:color="000000" w:sz="8" w:space="0"/>
              <w:right w:val="single" w:color="000000" w:sz="8" w:space="0"/>
            </w:tcBorders>
            <w:shd w:val="clear" w:color="auto" w:fill="auto"/>
            <w:vAlign w:val="center"/>
          </w:tcPr>
          <w:p w14:paraId="5678AE40">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楷体_GBK" w:hAnsi="方正楷体_GBK" w:eastAsia="方正楷体_GBK" w:cs="方正楷体_GBK"/>
                <w:i w:val="0"/>
                <w:iCs w:val="0"/>
                <w:color w:val="000000"/>
                <w:sz w:val="20"/>
                <w:szCs w:val="20"/>
                <w:u w:val="none"/>
              </w:rPr>
            </w:pPr>
          </w:p>
        </w:tc>
        <w:tc>
          <w:tcPr>
            <w:tcW w:w="812" w:type="dxa"/>
            <w:vMerge w:val="continue"/>
            <w:tcBorders>
              <w:top w:val="nil"/>
              <w:left w:val="nil"/>
              <w:bottom w:val="single" w:color="000000" w:sz="8" w:space="0"/>
              <w:right w:val="single" w:color="000000" w:sz="8" w:space="0"/>
            </w:tcBorders>
            <w:shd w:val="clear" w:color="auto" w:fill="auto"/>
            <w:vAlign w:val="center"/>
          </w:tcPr>
          <w:p w14:paraId="702ABE9E">
            <w:pPr>
              <w:keepNext w:val="0"/>
              <w:keepLines w:val="0"/>
              <w:pageBreakBefore w:val="0"/>
              <w:widowControl/>
              <w:kinsoku/>
              <w:wordWrap/>
              <w:overflowPunct/>
              <w:topLinePunct w:val="0"/>
              <w:autoSpaceDE/>
              <w:autoSpaceDN/>
              <w:bidi w:val="0"/>
              <w:adjustRightInd/>
              <w:snapToGrid/>
              <w:spacing w:line="300" w:lineRule="exact"/>
              <w:jc w:val="left"/>
              <w:rPr>
                <w:rFonts w:hint="eastAsia" w:ascii="方正楷体_GBK" w:hAnsi="方正楷体_GBK" w:eastAsia="方正楷体_GBK" w:cs="方正楷体_GBK"/>
                <w:i w:val="0"/>
                <w:iCs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noWrap/>
            <w:vAlign w:val="center"/>
          </w:tcPr>
          <w:p w14:paraId="068231BC">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i w:val="0"/>
                <w:iCs w:val="0"/>
                <w:color w:val="000000"/>
                <w:sz w:val="20"/>
                <w:szCs w:val="20"/>
                <w:u w:val="none"/>
              </w:rPr>
            </w:pPr>
          </w:p>
        </w:tc>
        <w:tc>
          <w:tcPr>
            <w:tcW w:w="6935" w:type="dxa"/>
            <w:tcBorders>
              <w:top w:val="nil"/>
              <w:left w:val="nil"/>
              <w:bottom w:val="nil"/>
              <w:right w:val="single" w:color="000000" w:sz="8" w:space="0"/>
            </w:tcBorders>
            <w:shd w:val="clear" w:color="auto" w:fill="auto"/>
            <w:vAlign w:val="center"/>
          </w:tcPr>
          <w:p w14:paraId="337A22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③提供1个案例的，得5分；</w:t>
            </w:r>
          </w:p>
        </w:tc>
        <w:tc>
          <w:tcPr>
            <w:tcW w:w="4311" w:type="dxa"/>
            <w:vMerge w:val="continue"/>
            <w:tcBorders>
              <w:top w:val="nil"/>
              <w:left w:val="nil"/>
              <w:bottom w:val="single" w:color="000000" w:sz="8" w:space="0"/>
              <w:right w:val="single" w:color="000000" w:sz="8" w:space="0"/>
            </w:tcBorders>
            <w:shd w:val="clear" w:color="auto" w:fill="auto"/>
            <w:vAlign w:val="center"/>
          </w:tcPr>
          <w:p w14:paraId="5A9BA6E8">
            <w:pPr>
              <w:keepNext w:val="0"/>
              <w:keepLines w:val="0"/>
              <w:pageBreakBefore w:val="0"/>
              <w:widowControl/>
              <w:kinsoku/>
              <w:wordWrap/>
              <w:overflowPunct/>
              <w:topLinePunct w:val="0"/>
              <w:autoSpaceDE/>
              <w:autoSpaceDN/>
              <w:bidi w:val="0"/>
              <w:adjustRightInd/>
              <w:snapToGrid/>
              <w:spacing w:line="300" w:lineRule="exact"/>
              <w:jc w:val="left"/>
              <w:rPr>
                <w:rFonts w:hint="eastAsia" w:ascii="方正仿宋_GBK" w:hAnsi="方正仿宋_GBK" w:eastAsia="方正仿宋_GBK" w:cs="方正仿宋_GBK"/>
                <w:i w:val="0"/>
                <w:iCs w:val="0"/>
                <w:color w:val="000000"/>
                <w:sz w:val="20"/>
                <w:szCs w:val="20"/>
                <w:u w:val="none"/>
              </w:rPr>
            </w:pPr>
          </w:p>
        </w:tc>
      </w:tr>
      <w:tr w14:paraId="2FEF3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16"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B80D381">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i w:val="0"/>
                <w:iCs w:val="0"/>
                <w:color w:val="000000"/>
                <w:sz w:val="20"/>
                <w:szCs w:val="20"/>
                <w:u w:val="none"/>
              </w:rPr>
            </w:pPr>
          </w:p>
        </w:tc>
        <w:tc>
          <w:tcPr>
            <w:tcW w:w="586" w:type="dxa"/>
            <w:vMerge w:val="continue"/>
            <w:tcBorders>
              <w:top w:val="nil"/>
              <w:left w:val="nil"/>
              <w:bottom w:val="single" w:color="000000" w:sz="8" w:space="0"/>
              <w:right w:val="single" w:color="000000" w:sz="8" w:space="0"/>
            </w:tcBorders>
            <w:shd w:val="clear" w:color="auto" w:fill="auto"/>
            <w:vAlign w:val="center"/>
          </w:tcPr>
          <w:p w14:paraId="67959EE1">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楷体_GBK" w:hAnsi="方正楷体_GBK" w:eastAsia="方正楷体_GBK" w:cs="方正楷体_GBK"/>
                <w:i w:val="0"/>
                <w:iCs w:val="0"/>
                <w:color w:val="000000"/>
                <w:sz w:val="20"/>
                <w:szCs w:val="20"/>
                <w:u w:val="none"/>
              </w:rPr>
            </w:pPr>
          </w:p>
        </w:tc>
        <w:tc>
          <w:tcPr>
            <w:tcW w:w="812" w:type="dxa"/>
            <w:vMerge w:val="continue"/>
            <w:tcBorders>
              <w:top w:val="nil"/>
              <w:left w:val="nil"/>
              <w:bottom w:val="single" w:color="000000" w:sz="8" w:space="0"/>
              <w:right w:val="single" w:color="000000" w:sz="8" w:space="0"/>
            </w:tcBorders>
            <w:shd w:val="clear" w:color="auto" w:fill="auto"/>
            <w:vAlign w:val="center"/>
          </w:tcPr>
          <w:p w14:paraId="6AD35105">
            <w:pPr>
              <w:keepNext w:val="0"/>
              <w:keepLines w:val="0"/>
              <w:pageBreakBefore w:val="0"/>
              <w:widowControl/>
              <w:kinsoku/>
              <w:wordWrap/>
              <w:overflowPunct/>
              <w:topLinePunct w:val="0"/>
              <w:autoSpaceDE/>
              <w:autoSpaceDN/>
              <w:bidi w:val="0"/>
              <w:adjustRightInd/>
              <w:snapToGrid/>
              <w:spacing w:line="300" w:lineRule="exact"/>
              <w:jc w:val="left"/>
              <w:rPr>
                <w:rFonts w:hint="eastAsia" w:ascii="方正楷体_GBK" w:hAnsi="方正楷体_GBK" w:eastAsia="方正楷体_GBK" w:cs="方正楷体_GBK"/>
                <w:i w:val="0"/>
                <w:iCs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noWrap/>
            <w:vAlign w:val="center"/>
          </w:tcPr>
          <w:p w14:paraId="557325F7">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i w:val="0"/>
                <w:iCs w:val="0"/>
                <w:color w:val="000000"/>
                <w:sz w:val="20"/>
                <w:szCs w:val="20"/>
                <w:u w:val="none"/>
              </w:rPr>
            </w:pPr>
          </w:p>
        </w:tc>
        <w:tc>
          <w:tcPr>
            <w:tcW w:w="6935" w:type="dxa"/>
            <w:tcBorders>
              <w:top w:val="nil"/>
              <w:left w:val="nil"/>
              <w:bottom w:val="single" w:color="000000" w:sz="8" w:space="0"/>
              <w:right w:val="single" w:color="000000" w:sz="8" w:space="0"/>
            </w:tcBorders>
            <w:shd w:val="clear" w:color="auto" w:fill="auto"/>
            <w:vAlign w:val="center"/>
          </w:tcPr>
          <w:p w14:paraId="7D6F620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④没有提供案例的，不得分。</w:t>
            </w:r>
          </w:p>
        </w:tc>
        <w:tc>
          <w:tcPr>
            <w:tcW w:w="4311" w:type="dxa"/>
            <w:vMerge w:val="continue"/>
            <w:tcBorders>
              <w:top w:val="nil"/>
              <w:left w:val="nil"/>
              <w:bottom w:val="single" w:color="000000" w:sz="8" w:space="0"/>
              <w:right w:val="single" w:color="000000" w:sz="8" w:space="0"/>
            </w:tcBorders>
            <w:shd w:val="clear" w:color="auto" w:fill="auto"/>
            <w:vAlign w:val="center"/>
          </w:tcPr>
          <w:p w14:paraId="783CA8DC">
            <w:pPr>
              <w:keepNext w:val="0"/>
              <w:keepLines w:val="0"/>
              <w:pageBreakBefore w:val="0"/>
              <w:widowControl/>
              <w:kinsoku/>
              <w:wordWrap/>
              <w:overflowPunct/>
              <w:topLinePunct w:val="0"/>
              <w:autoSpaceDE/>
              <w:autoSpaceDN/>
              <w:bidi w:val="0"/>
              <w:adjustRightInd/>
              <w:snapToGrid/>
              <w:spacing w:line="300" w:lineRule="exact"/>
              <w:jc w:val="left"/>
              <w:rPr>
                <w:rFonts w:hint="eastAsia" w:ascii="方正仿宋_GBK" w:hAnsi="方正仿宋_GBK" w:eastAsia="方正仿宋_GBK" w:cs="方正仿宋_GBK"/>
                <w:i w:val="0"/>
                <w:iCs w:val="0"/>
                <w:color w:val="000000"/>
                <w:sz w:val="20"/>
                <w:szCs w:val="20"/>
                <w:u w:val="none"/>
              </w:rPr>
            </w:pPr>
          </w:p>
        </w:tc>
      </w:tr>
      <w:tr w14:paraId="61D25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16" w:type="dxa"/>
            <w:vMerge w:val="restart"/>
            <w:tcBorders>
              <w:top w:val="nil"/>
              <w:left w:val="single" w:color="000000" w:sz="8" w:space="0"/>
              <w:bottom w:val="single" w:color="000000" w:sz="8" w:space="0"/>
              <w:right w:val="single" w:color="000000" w:sz="8" w:space="0"/>
            </w:tcBorders>
            <w:shd w:val="clear" w:color="auto" w:fill="auto"/>
            <w:noWrap/>
            <w:vAlign w:val="center"/>
          </w:tcPr>
          <w:p w14:paraId="2EC6F5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w:t>
            </w:r>
          </w:p>
        </w:tc>
        <w:tc>
          <w:tcPr>
            <w:tcW w:w="586" w:type="dxa"/>
            <w:vMerge w:val="restart"/>
            <w:tcBorders>
              <w:top w:val="nil"/>
              <w:left w:val="nil"/>
              <w:bottom w:val="single" w:color="000000" w:sz="8" w:space="0"/>
              <w:right w:val="single" w:color="000000" w:sz="8" w:space="0"/>
            </w:tcBorders>
            <w:shd w:val="clear" w:color="auto" w:fill="auto"/>
            <w:vAlign w:val="center"/>
          </w:tcPr>
          <w:p w14:paraId="5A1D29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技术部分</w:t>
            </w:r>
          </w:p>
        </w:tc>
        <w:tc>
          <w:tcPr>
            <w:tcW w:w="812" w:type="dxa"/>
            <w:vMerge w:val="restart"/>
            <w:tcBorders>
              <w:top w:val="nil"/>
              <w:left w:val="nil"/>
              <w:bottom w:val="single" w:color="000000" w:sz="8" w:space="0"/>
              <w:right w:val="single" w:color="000000" w:sz="8" w:space="0"/>
            </w:tcBorders>
            <w:shd w:val="clear" w:color="auto" w:fill="auto"/>
            <w:vAlign w:val="center"/>
          </w:tcPr>
          <w:p w14:paraId="447368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培训组织实施方案</w:t>
            </w:r>
          </w:p>
        </w:tc>
        <w:tc>
          <w:tcPr>
            <w:tcW w:w="914" w:type="dxa"/>
            <w:vMerge w:val="restart"/>
            <w:tcBorders>
              <w:top w:val="nil"/>
              <w:left w:val="nil"/>
              <w:bottom w:val="single" w:color="000000" w:sz="8" w:space="0"/>
              <w:right w:val="single" w:color="000000" w:sz="8" w:space="0"/>
            </w:tcBorders>
            <w:shd w:val="clear" w:color="auto" w:fill="auto"/>
            <w:noWrap/>
            <w:vAlign w:val="center"/>
          </w:tcPr>
          <w:p w14:paraId="1B963C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w:t>
            </w:r>
          </w:p>
        </w:tc>
        <w:tc>
          <w:tcPr>
            <w:tcW w:w="6935" w:type="dxa"/>
            <w:tcBorders>
              <w:top w:val="nil"/>
              <w:left w:val="nil"/>
              <w:bottom w:val="nil"/>
              <w:right w:val="single" w:color="000000" w:sz="8" w:space="0"/>
            </w:tcBorders>
            <w:shd w:val="clear" w:color="auto" w:fill="auto"/>
            <w:vAlign w:val="center"/>
          </w:tcPr>
          <w:p w14:paraId="258034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1.结合本单位实际情况，制定培训方案及培训流程，包括但不限于课程设计、教学安排、培训活动设置等内容。根据培训方案内容的丰富性、实用性、可操作性及创新程度，本单位综合评比得分：</w:t>
            </w:r>
          </w:p>
        </w:tc>
        <w:tc>
          <w:tcPr>
            <w:tcW w:w="4311" w:type="dxa"/>
            <w:vMerge w:val="restart"/>
            <w:tcBorders>
              <w:top w:val="nil"/>
              <w:left w:val="nil"/>
              <w:bottom w:val="single" w:color="000000" w:sz="8" w:space="0"/>
              <w:right w:val="single" w:color="000000" w:sz="8" w:space="0"/>
            </w:tcBorders>
            <w:shd w:val="clear" w:color="auto" w:fill="auto"/>
            <w:vAlign w:val="center"/>
          </w:tcPr>
          <w:p w14:paraId="7BBF408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横向对比评分，针对实施方案的科学性、合理性、完整性、可操作性，进行酌情给分。满分为20分。</w:t>
            </w:r>
          </w:p>
        </w:tc>
      </w:tr>
      <w:tr w14:paraId="2053D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trPr>
        <w:tc>
          <w:tcPr>
            <w:tcW w:w="616"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1C0CD62">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i w:val="0"/>
                <w:iCs w:val="0"/>
                <w:color w:val="000000"/>
                <w:sz w:val="20"/>
                <w:szCs w:val="20"/>
                <w:u w:val="none"/>
              </w:rPr>
            </w:pPr>
          </w:p>
        </w:tc>
        <w:tc>
          <w:tcPr>
            <w:tcW w:w="586" w:type="dxa"/>
            <w:vMerge w:val="continue"/>
            <w:tcBorders>
              <w:top w:val="nil"/>
              <w:left w:val="nil"/>
              <w:bottom w:val="single" w:color="000000" w:sz="8" w:space="0"/>
              <w:right w:val="single" w:color="000000" w:sz="8" w:space="0"/>
            </w:tcBorders>
            <w:shd w:val="clear" w:color="auto" w:fill="auto"/>
            <w:vAlign w:val="center"/>
          </w:tcPr>
          <w:p w14:paraId="36ABC82F">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楷体_GBK" w:hAnsi="方正楷体_GBK" w:eastAsia="方正楷体_GBK" w:cs="方正楷体_GBK"/>
                <w:i w:val="0"/>
                <w:iCs w:val="0"/>
                <w:color w:val="000000"/>
                <w:sz w:val="20"/>
                <w:szCs w:val="20"/>
                <w:u w:val="none"/>
              </w:rPr>
            </w:pPr>
          </w:p>
        </w:tc>
        <w:tc>
          <w:tcPr>
            <w:tcW w:w="812" w:type="dxa"/>
            <w:vMerge w:val="continue"/>
            <w:tcBorders>
              <w:top w:val="nil"/>
              <w:left w:val="nil"/>
              <w:bottom w:val="single" w:color="000000" w:sz="8" w:space="0"/>
              <w:right w:val="single" w:color="000000" w:sz="8" w:space="0"/>
            </w:tcBorders>
            <w:shd w:val="clear" w:color="auto" w:fill="auto"/>
            <w:vAlign w:val="center"/>
          </w:tcPr>
          <w:p w14:paraId="2DF07317">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楷体_GBK" w:hAnsi="方正楷体_GBK" w:eastAsia="方正楷体_GBK" w:cs="方正楷体_GBK"/>
                <w:i w:val="0"/>
                <w:iCs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noWrap/>
            <w:vAlign w:val="center"/>
          </w:tcPr>
          <w:p w14:paraId="7EB6187F">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i w:val="0"/>
                <w:iCs w:val="0"/>
                <w:color w:val="000000"/>
                <w:sz w:val="20"/>
                <w:szCs w:val="20"/>
                <w:u w:val="none"/>
              </w:rPr>
            </w:pPr>
          </w:p>
        </w:tc>
        <w:tc>
          <w:tcPr>
            <w:tcW w:w="6935" w:type="dxa"/>
            <w:tcBorders>
              <w:top w:val="nil"/>
              <w:left w:val="nil"/>
              <w:bottom w:val="nil"/>
              <w:right w:val="single" w:color="000000" w:sz="8" w:space="0"/>
            </w:tcBorders>
            <w:shd w:val="clear" w:color="auto" w:fill="auto"/>
            <w:vAlign w:val="center"/>
          </w:tcPr>
          <w:p w14:paraId="1C76BE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10分-20分：培训方案内容与本单位实际情况相结合，培训主题突出，创新性强，内容丰富，结合案例，易于理解，针对性很强，后期容易推广和固化；</w:t>
            </w:r>
          </w:p>
        </w:tc>
        <w:tc>
          <w:tcPr>
            <w:tcW w:w="4311" w:type="dxa"/>
            <w:vMerge w:val="continue"/>
            <w:tcBorders>
              <w:top w:val="nil"/>
              <w:left w:val="nil"/>
              <w:bottom w:val="single" w:color="000000" w:sz="8" w:space="0"/>
              <w:right w:val="single" w:color="000000" w:sz="8" w:space="0"/>
            </w:tcBorders>
            <w:shd w:val="clear" w:color="auto" w:fill="auto"/>
            <w:vAlign w:val="center"/>
          </w:tcPr>
          <w:p w14:paraId="5CBE793F">
            <w:pPr>
              <w:keepNext w:val="0"/>
              <w:keepLines w:val="0"/>
              <w:pageBreakBefore w:val="0"/>
              <w:widowControl/>
              <w:kinsoku/>
              <w:wordWrap/>
              <w:overflowPunct/>
              <w:topLinePunct w:val="0"/>
              <w:autoSpaceDE/>
              <w:autoSpaceDN/>
              <w:bidi w:val="0"/>
              <w:adjustRightInd/>
              <w:snapToGrid/>
              <w:spacing w:line="300" w:lineRule="exact"/>
              <w:jc w:val="left"/>
              <w:rPr>
                <w:rFonts w:hint="eastAsia" w:ascii="方正仿宋_GBK" w:hAnsi="方正仿宋_GBK" w:eastAsia="方正仿宋_GBK" w:cs="方正仿宋_GBK"/>
                <w:i w:val="0"/>
                <w:iCs w:val="0"/>
                <w:color w:val="000000"/>
                <w:sz w:val="20"/>
                <w:szCs w:val="20"/>
                <w:u w:val="none"/>
              </w:rPr>
            </w:pPr>
          </w:p>
        </w:tc>
      </w:tr>
      <w:tr w14:paraId="6AF23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616"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55FE65F">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i w:val="0"/>
                <w:iCs w:val="0"/>
                <w:color w:val="000000"/>
                <w:sz w:val="20"/>
                <w:szCs w:val="20"/>
                <w:u w:val="none"/>
              </w:rPr>
            </w:pPr>
          </w:p>
        </w:tc>
        <w:tc>
          <w:tcPr>
            <w:tcW w:w="586" w:type="dxa"/>
            <w:vMerge w:val="continue"/>
            <w:tcBorders>
              <w:top w:val="nil"/>
              <w:left w:val="nil"/>
              <w:bottom w:val="single" w:color="000000" w:sz="8" w:space="0"/>
              <w:right w:val="single" w:color="000000" w:sz="8" w:space="0"/>
            </w:tcBorders>
            <w:shd w:val="clear" w:color="auto" w:fill="auto"/>
            <w:vAlign w:val="center"/>
          </w:tcPr>
          <w:p w14:paraId="093114A1">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楷体_GBK" w:hAnsi="方正楷体_GBK" w:eastAsia="方正楷体_GBK" w:cs="方正楷体_GBK"/>
                <w:i w:val="0"/>
                <w:iCs w:val="0"/>
                <w:color w:val="000000"/>
                <w:sz w:val="20"/>
                <w:szCs w:val="20"/>
                <w:u w:val="none"/>
              </w:rPr>
            </w:pPr>
          </w:p>
        </w:tc>
        <w:tc>
          <w:tcPr>
            <w:tcW w:w="812" w:type="dxa"/>
            <w:vMerge w:val="continue"/>
            <w:tcBorders>
              <w:top w:val="nil"/>
              <w:left w:val="nil"/>
              <w:bottom w:val="single" w:color="000000" w:sz="8" w:space="0"/>
              <w:right w:val="single" w:color="000000" w:sz="8" w:space="0"/>
            </w:tcBorders>
            <w:shd w:val="clear" w:color="auto" w:fill="auto"/>
            <w:vAlign w:val="center"/>
          </w:tcPr>
          <w:p w14:paraId="0B1B1113">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楷体_GBK" w:hAnsi="方正楷体_GBK" w:eastAsia="方正楷体_GBK" w:cs="方正楷体_GBK"/>
                <w:i w:val="0"/>
                <w:iCs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noWrap/>
            <w:vAlign w:val="center"/>
          </w:tcPr>
          <w:p w14:paraId="16A0A7B3">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i w:val="0"/>
                <w:iCs w:val="0"/>
                <w:color w:val="000000"/>
                <w:sz w:val="20"/>
                <w:szCs w:val="20"/>
                <w:u w:val="none"/>
              </w:rPr>
            </w:pPr>
          </w:p>
        </w:tc>
        <w:tc>
          <w:tcPr>
            <w:tcW w:w="6935" w:type="dxa"/>
            <w:tcBorders>
              <w:top w:val="nil"/>
              <w:left w:val="nil"/>
              <w:bottom w:val="nil"/>
              <w:right w:val="single" w:color="000000" w:sz="8" w:space="0"/>
            </w:tcBorders>
            <w:shd w:val="clear" w:color="auto" w:fill="auto"/>
            <w:vAlign w:val="center"/>
          </w:tcPr>
          <w:p w14:paraId="5EC471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5分-10分：培训方案内容与本单位实际情况基本相符，培训主题明确，整体架构合理，针对性较强，有一定程度上的创新，后期可选择性地推广和固化；</w:t>
            </w:r>
          </w:p>
        </w:tc>
        <w:tc>
          <w:tcPr>
            <w:tcW w:w="4311" w:type="dxa"/>
            <w:vMerge w:val="continue"/>
            <w:tcBorders>
              <w:top w:val="nil"/>
              <w:left w:val="nil"/>
              <w:bottom w:val="single" w:color="000000" w:sz="8" w:space="0"/>
              <w:right w:val="single" w:color="000000" w:sz="8" w:space="0"/>
            </w:tcBorders>
            <w:shd w:val="clear" w:color="auto" w:fill="auto"/>
            <w:vAlign w:val="center"/>
          </w:tcPr>
          <w:p w14:paraId="49B95018">
            <w:pPr>
              <w:keepNext w:val="0"/>
              <w:keepLines w:val="0"/>
              <w:pageBreakBefore w:val="0"/>
              <w:widowControl/>
              <w:kinsoku/>
              <w:wordWrap/>
              <w:overflowPunct/>
              <w:topLinePunct w:val="0"/>
              <w:autoSpaceDE/>
              <w:autoSpaceDN/>
              <w:bidi w:val="0"/>
              <w:adjustRightInd/>
              <w:snapToGrid/>
              <w:spacing w:line="300" w:lineRule="exact"/>
              <w:jc w:val="left"/>
              <w:rPr>
                <w:rFonts w:hint="eastAsia" w:ascii="方正仿宋_GBK" w:hAnsi="方正仿宋_GBK" w:eastAsia="方正仿宋_GBK" w:cs="方正仿宋_GBK"/>
                <w:i w:val="0"/>
                <w:iCs w:val="0"/>
                <w:color w:val="000000"/>
                <w:sz w:val="20"/>
                <w:szCs w:val="20"/>
                <w:u w:val="none"/>
              </w:rPr>
            </w:pPr>
          </w:p>
        </w:tc>
      </w:tr>
      <w:tr w14:paraId="1B035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616"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4082C74">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i w:val="0"/>
                <w:iCs w:val="0"/>
                <w:color w:val="000000"/>
                <w:sz w:val="20"/>
                <w:szCs w:val="20"/>
                <w:u w:val="none"/>
              </w:rPr>
            </w:pPr>
          </w:p>
        </w:tc>
        <w:tc>
          <w:tcPr>
            <w:tcW w:w="586" w:type="dxa"/>
            <w:vMerge w:val="continue"/>
            <w:tcBorders>
              <w:top w:val="nil"/>
              <w:left w:val="nil"/>
              <w:bottom w:val="single" w:color="000000" w:sz="8" w:space="0"/>
              <w:right w:val="single" w:color="000000" w:sz="8" w:space="0"/>
            </w:tcBorders>
            <w:shd w:val="clear" w:color="auto" w:fill="auto"/>
            <w:vAlign w:val="center"/>
          </w:tcPr>
          <w:p w14:paraId="7E875970">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楷体_GBK" w:hAnsi="方正楷体_GBK" w:eastAsia="方正楷体_GBK" w:cs="方正楷体_GBK"/>
                <w:i w:val="0"/>
                <w:iCs w:val="0"/>
                <w:color w:val="000000"/>
                <w:sz w:val="20"/>
                <w:szCs w:val="20"/>
                <w:u w:val="none"/>
              </w:rPr>
            </w:pPr>
          </w:p>
        </w:tc>
        <w:tc>
          <w:tcPr>
            <w:tcW w:w="812" w:type="dxa"/>
            <w:vMerge w:val="continue"/>
            <w:tcBorders>
              <w:top w:val="nil"/>
              <w:left w:val="nil"/>
              <w:bottom w:val="single" w:color="000000" w:sz="8" w:space="0"/>
              <w:right w:val="single" w:color="000000" w:sz="8" w:space="0"/>
            </w:tcBorders>
            <w:shd w:val="clear" w:color="auto" w:fill="auto"/>
            <w:vAlign w:val="center"/>
          </w:tcPr>
          <w:p w14:paraId="212370FD">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楷体_GBK" w:hAnsi="方正楷体_GBK" w:eastAsia="方正楷体_GBK" w:cs="方正楷体_GBK"/>
                <w:i w:val="0"/>
                <w:iCs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noWrap/>
            <w:vAlign w:val="center"/>
          </w:tcPr>
          <w:p w14:paraId="549CF30D">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i w:val="0"/>
                <w:iCs w:val="0"/>
                <w:color w:val="000000"/>
                <w:sz w:val="20"/>
                <w:szCs w:val="20"/>
                <w:u w:val="none"/>
              </w:rPr>
            </w:pPr>
          </w:p>
        </w:tc>
        <w:tc>
          <w:tcPr>
            <w:tcW w:w="6935" w:type="dxa"/>
            <w:tcBorders>
              <w:top w:val="nil"/>
              <w:left w:val="nil"/>
              <w:bottom w:val="single" w:color="000000" w:sz="8" w:space="0"/>
              <w:right w:val="single" w:color="000000" w:sz="8" w:space="0"/>
            </w:tcBorders>
            <w:shd w:val="clear" w:color="auto" w:fill="auto"/>
            <w:vAlign w:val="center"/>
          </w:tcPr>
          <w:p w14:paraId="276A37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0分-5分：培训方案内容与本单位实际情况基本相符，有一定程度上的创新性，培训内容基本合理。</w:t>
            </w:r>
          </w:p>
        </w:tc>
        <w:tc>
          <w:tcPr>
            <w:tcW w:w="4311" w:type="dxa"/>
            <w:vMerge w:val="continue"/>
            <w:tcBorders>
              <w:top w:val="nil"/>
              <w:left w:val="nil"/>
              <w:bottom w:val="single" w:color="000000" w:sz="8" w:space="0"/>
              <w:right w:val="single" w:color="000000" w:sz="8" w:space="0"/>
            </w:tcBorders>
            <w:shd w:val="clear" w:color="auto" w:fill="auto"/>
            <w:vAlign w:val="center"/>
          </w:tcPr>
          <w:p w14:paraId="34E448BC">
            <w:pPr>
              <w:keepNext w:val="0"/>
              <w:keepLines w:val="0"/>
              <w:pageBreakBefore w:val="0"/>
              <w:widowControl/>
              <w:kinsoku/>
              <w:wordWrap/>
              <w:overflowPunct/>
              <w:topLinePunct w:val="0"/>
              <w:autoSpaceDE/>
              <w:autoSpaceDN/>
              <w:bidi w:val="0"/>
              <w:adjustRightInd/>
              <w:snapToGrid/>
              <w:spacing w:line="300" w:lineRule="exact"/>
              <w:jc w:val="left"/>
              <w:rPr>
                <w:rFonts w:hint="eastAsia" w:ascii="方正仿宋_GBK" w:hAnsi="方正仿宋_GBK" w:eastAsia="方正仿宋_GBK" w:cs="方正仿宋_GBK"/>
                <w:i w:val="0"/>
                <w:iCs w:val="0"/>
                <w:color w:val="000000"/>
                <w:sz w:val="20"/>
                <w:szCs w:val="20"/>
                <w:u w:val="none"/>
              </w:rPr>
            </w:pPr>
          </w:p>
        </w:tc>
      </w:tr>
      <w:tr w14:paraId="28D10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16"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3F060A4">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i w:val="0"/>
                <w:iCs w:val="0"/>
                <w:color w:val="000000"/>
                <w:sz w:val="20"/>
                <w:szCs w:val="20"/>
                <w:u w:val="none"/>
              </w:rPr>
            </w:pPr>
          </w:p>
        </w:tc>
        <w:tc>
          <w:tcPr>
            <w:tcW w:w="586" w:type="dxa"/>
            <w:vMerge w:val="continue"/>
            <w:tcBorders>
              <w:top w:val="nil"/>
              <w:left w:val="nil"/>
              <w:bottom w:val="single" w:color="000000" w:sz="8" w:space="0"/>
              <w:right w:val="single" w:color="000000" w:sz="8" w:space="0"/>
            </w:tcBorders>
            <w:shd w:val="clear" w:color="auto" w:fill="auto"/>
            <w:vAlign w:val="center"/>
          </w:tcPr>
          <w:p w14:paraId="4719E173">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楷体_GBK" w:hAnsi="方正楷体_GBK" w:eastAsia="方正楷体_GBK" w:cs="方正楷体_GBK"/>
                <w:i w:val="0"/>
                <w:iCs w:val="0"/>
                <w:color w:val="000000"/>
                <w:sz w:val="20"/>
                <w:szCs w:val="20"/>
                <w:u w:val="none"/>
              </w:rPr>
            </w:pPr>
          </w:p>
        </w:tc>
        <w:tc>
          <w:tcPr>
            <w:tcW w:w="812" w:type="dxa"/>
            <w:vMerge w:val="continue"/>
            <w:tcBorders>
              <w:top w:val="nil"/>
              <w:left w:val="nil"/>
              <w:bottom w:val="single" w:color="000000" w:sz="8" w:space="0"/>
              <w:right w:val="single" w:color="000000" w:sz="8" w:space="0"/>
            </w:tcBorders>
            <w:shd w:val="clear" w:color="auto" w:fill="auto"/>
            <w:vAlign w:val="center"/>
          </w:tcPr>
          <w:p w14:paraId="3787A31D">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楷体_GBK" w:hAnsi="方正楷体_GBK" w:eastAsia="方正楷体_GBK" w:cs="方正楷体_GBK"/>
                <w:i w:val="0"/>
                <w:iCs w:val="0"/>
                <w:color w:val="000000"/>
                <w:sz w:val="20"/>
                <w:szCs w:val="20"/>
                <w:u w:val="none"/>
              </w:rPr>
            </w:pPr>
          </w:p>
        </w:tc>
        <w:tc>
          <w:tcPr>
            <w:tcW w:w="914" w:type="dxa"/>
            <w:vMerge w:val="restart"/>
            <w:tcBorders>
              <w:top w:val="nil"/>
              <w:left w:val="nil"/>
              <w:bottom w:val="single" w:color="000000" w:sz="8" w:space="0"/>
              <w:right w:val="single" w:color="000000" w:sz="8" w:space="0"/>
            </w:tcBorders>
            <w:shd w:val="clear" w:color="auto" w:fill="auto"/>
            <w:noWrap/>
            <w:vAlign w:val="center"/>
          </w:tcPr>
          <w:p w14:paraId="399D4D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15</w:t>
            </w:r>
          </w:p>
        </w:tc>
        <w:tc>
          <w:tcPr>
            <w:tcW w:w="6935" w:type="dxa"/>
            <w:tcBorders>
              <w:top w:val="nil"/>
              <w:left w:val="nil"/>
              <w:bottom w:val="nil"/>
              <w:right w:val="single" w:color="000000" w:sz="8" w:space="0"/>
            </w:tcBorders>
            <w:shd w:val="clear" w:color="auto" w:fill="auto"/>
            <w:vAlign w:val="center"/>
          </w:tcPr>
          <w:p w14:paraId="14D9533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2.培养组织与运营实施：</w:t>
            </w:r>
          </w:p>
        </w:tc>
        <w:tc>
          <w:tcPr>
            <w:tcW w:w="4311" w:type="dxa"/>
            <w:vMerge w:val="restart"/>
            <w:tcBorders>
              <w:top w:val="nil"/>
              <w:left w:val="nil"/>
              <w:bottom w:val="single" w:color="000000" w:sz="8" w:space="0"/>
              <w:right w:val="single" w:color="000000" w:sz="8" w:space="0"/>
            </w:tcBorders>
            <w:shd w:val="clear" w:color="auto" w:fill="auto"/>
            <w:vAlign w:val="center"/>
          </w:tcPr>
          <w:p w14:paraId="5287E6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注：在投标人提供的实施方案中查看是否包含评分内容，横向对比综合评分，满分为15分。</w:t>
            </w:r>
          </w:p>
        </w:tc>
      </w:tr>
      <w:tr w14:paraId="7DF03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6"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224B7D1">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i w:val="0"/>
                <w:iCs w:val="0"/>
                <w:color w:val="000000"/>
                <w:sz w:val="20"/>
                <w:szCs w:val="20"/>
                <w:u w:val="none"/>
              </w:rPr>
            </w:pPr>
          </w:p>
        </w:tc>
        <w:tc>
          <w:tcPr>
            <w:tcW w:w="586" w:type="dxa"/>
            <w:vMerge w:val="continue"/>
            <w:tcBorders>
              <w:top w:val="nil"/>
              <w:left w:val="nil"/>
              <w:bottom w:val="single" w:color="000000" w:sz="8" w:space="0"/>
              <w:right w:val="single" w:color="000000" w:sz="8" w:space="0"/>
            </w:tcBorders>
            <w:shd w:val="clear" w:color="auto" w:fill="auto"/>
            <w:vAlign w:val="center"/>
          </w:tcPr>
          <w:p w14:paraId="3820204F">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楷体_GBK" w:hAnsi="方正楷体_GBK" w:eastAsia="方正楷体_GBK" w:cs="方正楷体_GBK"/>
                <w:i w:val="0"/>
                <w:iCs w:val="0"/>
                <w:color w:val="000000"/>
                <w:sz w:val="20"/>
                <w:szCs w:val="20"/>
                <w:u w:val="none"/>
              </w:rPr>
            </w:pPr>
          </w:p>
        </w:tc>
        <w:tc>
          <w:tcPr>
            <w:tcW w:w="812" w:type="dxa"/>
            <w:vMerge w:val="continue"/>
            <w:tcBorders>
              <w:top w:val="nil"/>
              <w:left w:val="nil"/>
              <w:bottom w:val="single" w:color="000000" w:sz="8" w:space="0"/>
              <w:right w:val="single" w:color="000000" w:sz="8" w:space="0"/>
            </w:tcBorders>
            <w:shd w:val="clear" w:color="auto" w:fill="auto"/>
            <w:vAlign w:val="center"/>
          </w:tcPr>
          <w:p w14:paraId="49B33CA0">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楷体_GBK" w:hAnsi="方正楷体_GBK" w:eastAsia="方正楷体_GBK" w:cs="方正楷体_GBK"/>
                <w:i w:val="0"/>
                <w:iCs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noWrap/>
            <w:vAlign w:val="center"/>
          </w:tcPr>
          <w:p w14:paraId="3506B53B">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i w:val="0"/>
                <w:iCs w:val="0"/>
                <w:color w:val="000000"/>
                <w:sz w:val="20"/>
                <w:szCs w:val="20"/>
                <w:u w:val="none"/>
              </w:rPr>
            </w:pPr>
          </w:p>
        </w:tc>
        <w:tc>
          <w:tcPr>
            <w:tcW w:w="6935" w:type="dxa"/>
            <w:tcBorders>
              <w:top w:val="nil"/>
              <w:left w:val="nil"/>
              <w:bottom w:val="nil"/>
              <w:right w:val="single" w:color="000000" w:sz="8" w:space="0"/>
            </w:tcBorders>
            <w:shd w:val="clear" w:color="auto" w:fill="auto"/>
            <w:vAlign w:val="center"/>
          </w:tcPr>
          <w:p w14:paraId="2E2534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①能够提供包括场地布置、物资准备等在内的全方位支持，得5分。</w:t>
            </w:r>
          </w:p>
        </w:tc>
        <w:tc>
          <w:tcPr>
            <w:tcW w:w="4311" w:type="dxa"/>
            <w:vMerge w:val="continue"/>
            <w:tcBorders>
              <w:top w:val="nil"/>
              <w:left w:val="nil"/>
              <w:bottom w:val="single" w:color="000000" w:sz="8" w:space="0"/>
              <w:right w:val="single" w:color="000000" w:sz="8" w:space="0"/>
            </w:tcBorders>
            <w:shd w:val="clear" w:color="auto" w:fill="auto"/>
            <w:vAlign w:val="center"/>
          </w:tcPr>
          <w:p w14:paraId="0BB07CA4">
            <w:pPr>
              <w:keepNext w:val="0"/>
              <w:keepLines w:val="0"/>
              <w:pageBreakBefore w:val="0"/>
              <w:widowControl/>
              <w:kinsoku/>
              <w:wordWrap/>
              <w:overflowPunct/>
              <w:topLinePunct w:val="0"/>
              <w:autoSpaceDE/>
              <w:autoSpaceDN/>
              <w:bidi w:val="0"/>
              <w:adjustRightInd/>
              <w:snapToGrid/>
              <w:spacing w:line="300" w:lineRule="exact"/>
              <w:jc w:val="left"/>
              <w:rPr>
                <w:rFonts w:hint="eastAsia" w:ascii="方正仿宋_GBK" w:hAnsi="方正仿宋_GBK" w:eastAsia="方正仿宋_GBK" w:cs="方正仿宋_GBK"/>
                <w:i w:val="0"/>
                <w:iCs w:val="0"/>
                <w:color w:val="000000"/>
                <w:sz w:val="20"/>
                <w:szCs w:val="20"/>
                <w:u w:val="none"/>
              </w:rPr>
            </w:pPr>
          </w:p>
        </w:tc>
      </w:tr>
      <w:tr w14:paraId="57511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616"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388E2A7">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i w:val="0"/>
                <w:iCs w:val="0"/>
                <w:color w:val="000000"/>
                <w:sz w:val="20"/>
                <w:szCs w:val="20"/>
                <w:u w:val="none"/>
              </w:rPr>
            </w:pPr>
          </w:p>
        </w:tc>
        <w:tc>
          <w:tcPr>
            <w:tcW w:w="586" w:type="dxa"/>
            <w:vMerge w:val="continue"/>
            <w:tcBorders>
              <w:top w:val="nil"/>
              <w:left w:val="nil"/>
              <w:bottom w:val="single" w:color="000000" w:sz="8" w:space="0"/>
              <w:right w:val="single" w:color="000000" w:sz="8" w:space="0"/>
            </w:tcBorders>
            <w:shd w:val="clear" w:color="auto" w:fill="auto"/>
            <w:vAlign w:val="center"/>
          </w:tcPr>
          <w:p w14:paraId="0553A6D8">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楷体_GBK" w:hAnsi="方正楷体_GBK" w:eastAsia="方正楷体_GBK" w:cs="方正楷体_GBK"/>
                <w:i w:val="0"/>
                <w:iCs w:val="0"/>
                <w:color w:val="000000"/>
                <w:sz w:val="20"/>
                <w:szCs w:val="20"/>
                <w:u w:val="none"/>
              </w:rPr>
            </w:pPr>
          </w:p>
        </w:tc>
        <w:tc>
          <w:tcPr>
            <w:tcW w:w="812" w:type="dxa"/>
            <w:vMerge w:val="continue"/>
            <w:tcBorders>
              <w:top w:val="nil"/>
              <w:left w:val="nil"/>
              <w:bottom w:val="single" w:color="000000" w:sz="8" w:space="0"/>
              <w:right w:val="single" w:color="000000" w:sz="8" w:space="0"/>
            </w:tcBorders>
            <w:shd w:val="clear" w:color="auto" w:fill="auto"/>
            <w:vAlign w:val="center"/>
          </w:tcPr>
          <w:p w14:paraId="2F4256E0">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楷体_GBK" w:hAnsi="方正楷体_GBK" w:eastAsia="方正楷体_GBK" w:cs="方正楷体_GBK"/>
                <w:i w:val="0"/>
                <w:iCs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noWrap/>
            <w:vAlign w:val="center"/>
          </w:tcPr>
          <w:p w14:paraId="79DB921D">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i w:val="0"/>
                <w:iCs w:val="0"/>
                <w:color w:val="000000"/>
                <w:sz w:val="20"/>
                <w:szCs w:val="20"/>
                <w:u w:val="none"/>
              </w:rPr>
            </w:pPr>
          </w:p>
        </w:tc>
        <w:tc>
          <w:tcPr>
            <w:tcW w:w="6935" w:type="dxa"/>
            <w:tcBorders>
              <w:top w:val="nil"/>
              <w:left w:val="nil"/>
              <w:bottom w:val="nil"/>
              <w:right w:val="single" w:color="000000" w:sz="8" w:space="0"/>
            </w:tcBorders>
            <w:shd w:val="clear" w:color="auto" w:fill="auto"/>
            <w:vAlign w:val="center"/>
          </w:tcPr>
          <w:p w14:paraId="5AA7AF0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②过程监控：运用积分模式对课堂表现、课程学习等情况进度督促与统计分析，并对优秀参训者进行嘉奖，得5分。</w:t>
            </w:r>
          </w:p>
        </w:tc>
        <w:tc>
          <w:tcPr>
            <w:tcW w:w="4311" w:type="dxa"/>
            <w:vMerge w:val="continue"/>
            <w:tcBorders>
              <w:top w:val="nil"/>
              <w:left w:val="nil"/>
              <w:bottom w:val="single" w:color="000000" w:sz="8" w:space="0"/>
              <w:right w:val="single" w:color="000000" w:sz="8" w:space="0"/>
            </w:tcBorders>
            <w:shd w:val="clear" w:color="auto" w:fill="auto"/>
            <w:vAlign w:val="center"/>
          </w:tcPr>
          <w:p w14:paraId="3B317175">
            <w:pPr>
              <w:keepNext w:val="0"/>
              <w:keepLines w:val="0"/>
              <w:pageBreakBefore w:val="0"/>
              <w:widowControl/>
              <w:kinsoku/>
              <w:wordWrap/>
              <w:overflowPunct/>
              <w:topLinePunct w:val="0"/>
              <w:autoSpaceDE/>
              <w:autoSpaceDN/>
              <w:bidi w:val="0"/>
              <w:adjustRightInd/>
              <w:snapToGrid/>
              <w:spacing w:line="300" w:lineRule="exact"/>
              <w:jc w:val="left"/>
              <w:rPr>
                <w:rFonts w:hint="eastAsia" w:ascii="方正仿宋_GBK" w:hAnsi="方正仿宋_GBK" w:eastAsia="方正仿宋_GBK" w:cs="方正仿宋_GBK"/>
                <w:i w:val="0"/>
                <w:iCs w:val="0"/>
                <w:color w:val="000000"/>
                <w:sz w:val="20"/>
                <w:szCs w:val="20"/>
                <w:u w:val="none"/>
              </w:rPr>
            </w:pPr>
          </w:p>
        </w:tc>
      </w:tr>
      <w:tr w14:paraId="07136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16"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D00169C">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i w:val="0"/>
                <w:iCs w:val="0"/>
                <w:color w:val="000000"/>
                <w:sz w:val="20"/>
                <w:szCs w:val="20"/>
                <w:u w:val="none"/>
              </w:rPr>
            </w:pPr>
          </w:p>
        </w:tc>
        <w:tc>
          <w:tcPr>
            <w:tcW w:w="586" w:type="dxa"/>
            <w:vMerge w:val="continue"/>
            <w:tcBorders>
              <w:top w:val="nil"/>
              <w:left w:val="nil"/>
              <w:bottom w:val="single" w:color="000000" w:sz="8" w:space="0"/>
              <w:right w:val="single" w:color="000000" w:sz="8" w:space="0"/>
            </w:tcBorders>
            <w:shd w:val="clear" w:color="auto" w:fill="auto"/>
            <w:vAlign w:val="center"/>
          </w:tcPr>
          <w:p w14:paraId="158DCCCB">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楷体_GBK" w:hAnsi="方正楷体_GBK" w:eastAsia="方正楷体_GBK" w:cs="方正楷体_GBK"/>
                <w:i w:val="0"/>
                <w:iCs w:val="0"/>
                <w:color w:val="000000"/>
                <w:sz w:val="20"/>
                <w:szCs w:val="20"/>
                <w:u w:val="none"/>
              </w:rPr>
            </w:pPr>
          </w:p>
        </w:tc>
        <w:tc>
          <w:tcPr>
            <w:tcW w:w="812" w:type="dxa"/>
            <w:vMerge w:val="continue"/>
            <w:tcBorders>
              <w:top w:val="nil"/>
              <w:left w:val="nil"/>
              <w:bottom w:val="single" w:color="000000" w:sz="8" w:space="0"/>
              <w:right w:val="single" w:color="000000" w:sz="8" w:space="0"/>
            </w:tcBorders>
            <w:shd w:val="clear" w:color="auto" w:fill="auto"/>
            <w:vAlign w:val="center"/>
          </w:tcPr>
          <w:p w14:paraId="12FBB937">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楷体_GBK" w:hAnsi="方正楷体_GBK" w:eastAsia="方正楷体_GBK" w:cs="方正楷体_GBK"/>
                <w:i w:val="0"/>
                <w:iCs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noWrap/>
            <w:vAlign w:val="center"/>
          </w:tcPr>
          <w:p w14:paraId="6050D2D5">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i w:val="0"/>
                <w:iCs w:val="0"/>
                <w:color w:val="000000"/>
                <w:sz w:val="20"/>
                <w:szCs w:val="20"/>
                <w:u w:val="none"/>
              </w:rPr>
            </w:pPr>
          </w:p>
        </w:tc>
        <w:tc>
          <w:tcPr>
            <w:tcW w:w="6935" w:type="dxa"/>
            <w:tcBorders>
              <w:top w:val="nil"/>
              <w:left w:val="nil"/>
              <w:bottom w:val="single" w:color="000000" w:sz="8" w:space="0"/>
              <w:right w:val="single" w:color="000000" w:sz="8" w:space="0"/>
            </w:tcBorders>
            <w:shd w:val="clear" w:color="auto" w:fill="auto"/>
            <w:vAlign w:val="center"/>
          </w:tcPr>
          <w:p w14:paraId="397C2A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③对突发状况有良好的应对预案，得5分。</w:t>
            </w:r>
          </w:p>
        </w:tc>
        <w:tc>
          <w:tcPr>
            <w:tcW w:w="4311" w:type="dxa"/>
            <w:vMerge w:val="continue"/>
            <w:tcBorders>
              <w:top w:val="nil"/>
              <w:left w:val="nil"/>
              <w:bottom w:val="single" w:color="000000" w:sz="8" w:space="0"/>
              <w:right w:val="single" w:color="000000" w:sz="8" w:space="0"/>
            </w:tcBorders>
            <w:shd w:val="clear" w:color="auto" w:fill="auto"/>
            <w:vAlign w:val="center"/>
          </w:tcPr>
          <w:p w14:paraId="0D2D0AF0">
            <w:pPr>
              <w:keepNext w:val="0"/>
              <w:keepLines w:val="0"/>
              <w:pageBreakBefore w:val="0"/>
              <w:widowControl/>
              <w:kinsoku/>
              <w:wordWrap/>
              <w:overflowPunct/>
              <w:topLinePunct w:val="0"/>
              <w:autoSpaceDE/>
              <w:autoSpaceDN/>
              <w:bidi w:val="0"/>
              <w:adjustRightInd/>
              <w:snapToGrid/>
              <w:spacing w:line="300" w:lineRule="exact"/>
              <w:jc w:val="left"/>
              <w:rPr>
                <w:rFonts w:hint="eastAsia" w:ascii="方正仿宋_GBK" w:hAnsi="方正仿宋_GBK" w:eastAsia="方正仿宋_GBK" w:cs="方正仿宋_GBK"/>
                <w:i w:val="0"/>
                <w:iCs w:val="0"/>
                <w:color w:val="000000"/>
                <w:sz w:val="20"/>
                <w:szCs w:val="20"/>
                <w:u w:val="none"/>
              </w:rPr>
            </w:pPr>
          </w:p>
        </w:tc>
      </w:tr>
      <w:tr w14:paraId="7DD31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16"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52F8297">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i w:val="0"/>
                <w:iCs w:val="0"/>
                <w:color w:val="000000"/>
                <w:sz w:val="20"/>
                <w:szCs w:val="20"/>
                <w:u w:val="none"/>
              </w:rPr>
            </w:pPr>
          </w:p>
        </w:tc>
        <w:tc>
          <w:tcPr>
            <w:tcW w:w="586" w:type="dxa"/>
            <w:vMerge w:val="continue"/>
            <w:tcBorders>
              <w:top w:val="nil"/>
              <w:left w:val="nil"/>
              <w:bottom w:val="single" w:color="000000" w:sz="8" w:space="0"/>
              <w:right w:val="single" w:color="000000" w:sz="8" w:space="0"/>
            </w:tcBorders>
            <w:shd w:val="clear" w:color="auto" w:fill="auto"/>
            <w:vAlign w:val="center"/>
          </w:tcPr>
          <w:p w14:paraId="69CA6E14">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楷体_GBK" w:hAnsi="方正楷体_GBK" w:eastAsia="方正楷体_GBK" w:cs="方正楷体_GBK"/>
                <w:i w:val="0"/>
                <w:iCs w:val="0"/>
                <w:color w:val="000000"/>
                <w:sz w:val="20"/>
                <w:szCs w:val="20"/>
                <w:u w:val="none"/>
              </w:rPr>
            </w:pPr>
          </w:p>
        </w:tc>
        <w:tc>
          <w:tcPr>
            <w:tcW w:w="812" w:type="dxa"/>
            <w:vMerge w:val="continue"/>
            <w:tcBorders>
              <w:top w:val="nil"/>
              <w:left w:val="nil"/>
              <w:bottom w:val="single" w:color="000000" w:sz="8" w:space="0"/>
              <w:right w:val="single" w:color="000000" w:sz="8" w:space="0"/>
            </w:tcBorders>
            <w:shd w:val="clear" w:color="auto" w:fill="auto"/>
            <w:vAlign w:val="center"/>
          </w:tcPr>
          <w:p w14:paraId="6953B05E">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楷体_GBK" w:hAnsi="方正楷体_GBK" w:eastAsia="方正楷体_GBK" w:cs="方正楷体_GBK"/>
                <w:i w:val="0"/>
                <w:iCs w:val="0"/>
                <w:color w:val="000000"/>
                <w:sz w:val="20"/>
                <w:szCs w:val="20"/>
                <w:u w:val="none"/>
              </w:rPr>
            </w:pPr>
          </w:p>
        </w:tc>
        <w:tc>
          <w:tcPr>
            <w:tcW w:w="914" w:type="dxa"/>
            <w:vMerge w:val="restart"/>
            <w:tcBorders>
              <w:top w:val="nil"/>
              <w:left w:val="nil"/>
              <w:bottom w:val="single" w:color="000000" w:sz="8" w:space="0"/>
              <w:right w:val="single" w:color="000000" w:sz="8" w:space="0"/>
            </w:tcBorders>
            <w:shd w:val="clear" w:color="auto" w:fill="auto"/>
            <w:noWrap/>
            <w:vAlign w:val="center"/>
          </w:tcPr>
          <w:p w14:paraId="6E8C9C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w:t>
            </w:r>
          </w:p>
        </w:tc>
        <w:tc>
          <w:tcPr>
            <w:tcW w:w="6935" w:type="dxa"/>
            <w:tcBorders>
              <w:top w:val="nil"/>
              <w:left w:val="nil"/>
              <w:bottom w:val="nil"/>
              <w:right w:val="single" w:color="000000" w:sz="8" w:space="0"/>
            </w:tcBorders>
            <w:shd w:val="clear" w:color="auto" w:fill="auto"/>
            <w:vAlign w:val="center"/>
          </w:tcPr>
          <w:p w14:paraId="556F4E6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3.服务团队</w:t>
            </w:r>
          </w:p>
        </w:tc>
        <w:tc>
          <w:tcPr>
            <w:tcW w:w="4311" w:type="dxa"/>
            <w:vMerge w:val="restart"/>
            <w:tcBorders>
              <w:top w:val="nil"/>
              <w:left w:val="nil"/>
              <w:bottom w:val="single" w:color="000000" w:sz="8" w:space="0"/>
              <w:right w:val="single" w:color="000000" w:sz="8" w:space="0"/>
            </w:tcBorders>
            <w:shd w:val="clear" w:color="auto" w:fill="auto"/>
            <w:vAlign w:val="center"/>
          </w:tcPr>
          <w:p w14:paraId="600E78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注：提供讲师及团队成员介绍，写明要求的工作经验、工作年限、学历层次。并加盖投标人鲜章，否则不得分。</w:t>
            </w:r>
          </w:p>
        </w:tc>
      </w:tr>
      <w:tr w14:paraId="42CA5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16"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2F4E47A">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i w:val="0"/>
                <w:iCs w:val="0"/>
                <w:color w:val="000000"/>
                <w:sz w:val="20"/>
                <w:szCs w:val="20"/>
                <w:u w:val="none"/>
              </w:rPr>
            </w:pPr>
          </w:p>
        </w:tc>
        <w:tc>
          <w:tcPr>
            <w:tcW w:w="586" w:type="dxa"/>
            <w:vMerge w:val="continue"/>
            <w:tcBorders>
              <w:top w:val="nil"/>
              <w:left w:val="nil"/>
              <w:bottom w:val="single" w:color="000000" w:sz="8" w:space="0"/>
              <w:right w:val="single" w:color="000000" w:sz="8" w:space="0"/>
            </w:tcBorders>
            <w:shd w:val="clear" w:color="auto" w:fill="auto"/>
            <w:vAlign w:val="center"/>
          </w:tcPr>
          <w:p w14:paraId="7FE4BCDC">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楷体_GBK" w:hAnsi="方正楷体_GBK" w:eastAsia="方正楷体_GBK" w:cs="方正楷体_GBK"/>
                <w:i w:val="0"/>
                <w:iCs w:val="0"/>
                <w:color w:val="000000"/>
                <w:sz w:val="20"/>
                <w:szCs w:val="20"/>
                <w:u w:val="none"/>
              </w:rPr>
            </w:pPr>
          </w:p>
        </w:tc>
        <w:tc>
          <w:tcPr>
            <w:tcW w:w="812" w:type="dxa"/>
            <w:vMerge w:val="continue"/>
            <w:tcBorders>
              <w:top w:val="nil"/>
              <w:left w:val="nil"/>
              <w:bottom w:val="single" w:color="000000" w:sz="8" w:space="0"/>
              <w:right w:val="single" w:color="000000" w:sz="8" w:space="0"/>
            </w:tcBorders>
            <w:shd w:val="clear" w:color="auto" w:fill="auto"/>
            <w:vAlign w:val="center"/>
          </w:tcPr>
          <w:p w14:paraId="46D95399">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楷体_GBK" w:hAnsi="方正楷体_GBK" w:eastAsia="方正楷体_GBK" w:cs="方正楷体_GBK"/>
                <w:i w:val="0"/>
                <w:iCs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noWrap/>
            <w:vAlign w:val="center"/>
          </w:tcPr>
          <w:p w14:paraId="2382A1A4">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i w:val="0"/>
                <w:iCs w:val="0"/>
                <w:color w:val="000000"/>
                <w:sz w:val="20"/>
                <w:szCs w:val="20"/>
                <w:u w:val="none"/>
              </w:rPr>
            </w:pPr>
          </w:p>
        </w:tc>
        <w:tc>
          <w:tcPr>
            <w:tcW w:w="6935" w:type="dxa"/>
            <w:tcBorders>
              <w:top w:val="nil"/>
              <w:left w:val="nil"/>
              <w:bottom w:val="nil"/>
              <w:right w:val="single" w:color="000000" w:sz="8" w:space="0"/>
            </w:tcBorders>
            <w:shd w:val="clear" w:color="auto" w:fill="auto"/>
            <w:vAlign w:val="center"/>
          </w:tcPr>
          <w:p w14:paraId="55F6CE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①课程讲师为专职培训讲师、具有五年以上管理培训工作经验，近三年累计服务5户央国企、事业单位的，得5分。上述任一不满足的均不得分。</w:t>
            </w:r>
          </w:p>
        </w:tc>
        <w:tc>
          <w:tcPr>
            <w:tcW w:w="4311" w:type="dxa"/>
            <w:vMerge w:val="continue"/>
            <w:tcBorders>
              <w:top w:val="nil"/>
              <w:left w:val="nil"/>
              <w:bottom w:val="single" w:color="000000" w:sz="8" w:space="0"/>
              <w:right w:val="single" w:color="000000" w:sz="8" w:space="0"/>
            </w:tcBorders>
            <w:shd w:val="clear" w:color="auto" w:fill="auto"/>
            <w:vAlign w:val="center"/>
          </w:tcPr>
          <w:p w14:paraId="2ACA2C01">
            <w:pPr>
              <w:keepNext w:val="0"/>
              <w:keepLines w:val="0"/>
              <w:pageBreakBefore w:val="0"/>
              <w:widowControl/>
              <w:kinsoku/>
              <w:wordWrap/>
              <w:overflowPunct/>
              <w:topLinePunct w:val="0"/>
              <w:autoSpaceDE/>
              <w:autoSpaceDN/>
              <w:bidi w:val="0"/>
              <w:adjustRightInd/>
              <w:snapToGrid/>
              <w:spacing w:line="300" w:lineRule="exact"/>
              <w:jc w:val="left"/>
              <w:rPr>
                <w:rFonts w:hint="eastAsia" w:ascii="方正仿宋_GBK" w:hAnsi="方正仿宋_GBK" w:eastAsia="方正仿宋_GBK" w:cs="方正仿宋_GBK"/>
                <w:i w:val="0"/>
                <w:iCs w:val="0"/>
                <w:color w:val="000000"/>
                <w:sz w:val="20"/>
                <w:szCs w:val="20"/>
                <w:u w:val="none"/>
              </w:rPr>
            </w:pPr>
          </w:p>
        </w:tc>
      </w:tr>
      <w:tr w14:paraId="406F7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trPr>
        <w:tc>
          <w:tcPr>
            <w:tcW w:w="616"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0EDE8F6">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i w:val="0"/>
                <w:iCs w:val="0"/>
                <w:color w:val="000000"/>
                <w:sz w:val="20"/>
                <w:szCs w:val="20"/>
                <w:u w:val="none"/>
              </w:rPr>
            </w:pPr>
          </w:p>
        </w:tc>
        <w:tc>
          <w:tcPr>
            <w:tcW w:w="586" w:type="dxa"/>
            <w:vMerge w:val="continue"/>
            <w:tcBorders>
              <w:top w:val="nil"/>
              <w:left w:val="nil"/>
              <w:bottom w:val="single" w:color="000000" w:sz="8" w:space="0"/>
              <w:right w:val="single" w:color="000000" w:sz="8" w:space="0"/>
            </w:tcBorders>
            <w:shd w:val="clear" w:color="auto" w:fill="auto"/>
            <w:vAlign w:val="center"/>
          </w:tcPr>
          <w:p w14:paraId="1147AF8B">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楷体_GBK" w:hAnsi="方正楷体_GBK" w:eastAsia="方正楷体_GBK" w:cs="方正楷体_GBK"/>
                <w:i w:val="0"/>
                <w:iCs w:val="0"/>
                <w:color w:val="000000"/>
                <w:sz w:val="20"/>
                <w:szCs w:val="20"/>
                <w:u w:val="none"/>
              </w:rPr>
            </w:pPr>
          </w:p>
        </w:tc>
        <w:tc>
          <w:tcPr>
            <w:tcW w:w="812" w:type="dxa"/>
            <w:vMerge w:val="continue"/>
            <w:tcBorders>
              <w:top w:val="nil"/>
              <w:left w:val="nil"/>
              <w:bottom w:val="single" w:color="000000" w:sz="8" w:space="0"/>
              <w:right w:val="single" w:color="000000" w:sz="8" w:space="0"/>
            </w:tcBorders>
            <w:shd w:val="clear" w:color="auto" w:fill="auto"/>
            <w:vAlign w:val="center"/>
          </w:tcPr>
          <w:p w14:paraId="4553E724">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楷体_GBK" w:hAnsi="方正楷体_GBK" w:eastAsia="方正楷体_GBK" w:cs="方正楷体_GBK"/>
                <w:i w:val="0"/>
                <w:iCs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noWrap/>
            <w:vAlign w:val="center"/>
          </w:tcPr>
          <w:p w14:paraId="62F8EBC1">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i w:val="0"/>
                <w:iCs w:val="0"/>
                <w:color w:val="000000"/>
                <w:sz w:val="20"/>
                <w:szCs w:val="20"/>
                <w:u w:val="none"/>
              </w:rPr>
            </w:pPr>
          </w:p>
        </w:tc>
        <w:tc>
          <w:tcPr>
            <w:tcW w:w="6935" w:type="dxa"/>
            <w:tcBorders>
              <w:top w:val="nil"/>
              <w:left w:val="nil"/>
              <w:bottom w:val="single" w:color="000000" w:sz="8" w:space="0"/>
              <w:right w:val="single" w:color="000000" w:sz="8" w:space="0"/>
            </w:tcBorders>
            <w:shd w:val="clear" w:color="auto" w:fill="auto"/>
            <w:vAlign w:val="center"/>
          </w:tcPr>
          <w:p w14:paraId="762B3C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②项目支持团队成员需为大学本科及以上学历水平，具有2年以上相关领域的支持和服务经验，熟悉培训项目的运营和管理流程，具备良好的团队协作精神和应急处理能力。</w:t>
            </w:r>
          </w:p>
        </w:tc>
        <w:tc>
          <w:tcPr>
            <w:tcW w:w="4311" w:type="dxa"/>
            <w:vMerge w:val="continue"/>
            <w:tcBorders>
              <w:top w:val="nil"/>
              <w:left w:val="nil"/>
              <w:bottom w:val="single" w:color="000000" w:sz="8" w:space="0"/>
              <w:right w:val="single" w:color="000000" w:sz="8" w:space="0"/>
            </w:tcBorders>
            <w:shd w:val="clear" w:color="auto" w:fill="auto"/>
            <w:vAlign w:val="center"/>
          </w:tcPr>
          <w:p w14:paraId="3D867A70">
            <w:pPr>
              <w:keepNext w:val="0"/>
              <w:keepLines w:val="0"/>
              <w:pageBreakBefore w:val="0"/>
              <w:widowControl/>
              <w:kinsoku/>
              <w:wordWrap/>
              <w:overflowPunct/>
              <w:topLinePunct w:val="0"/>
              <w:autoSpaceDE/>
              <w:autoSpaceDN/>
              <w:bidi w:val="0"/>
              <w:adjustRightInd/>
              <w:snapToGrid/>
              <w:spacing w:line="300" w:lineRule="exact"/>
              <w:jc w:val="left"/>
              <w:rPr>
                <w:rFonts w:hint="eastAsia" w:ascii="方正仿宋_GBK" w:hAnsi="方正仿宋_GBK" w:eastAsia="方正仿宋_GBK" w:cs="方正仿宋_GBK"/>
                <w:i w:val="0"/>
                <w:iCs w:val="0"/>
                <w:color w:val="000000"/>
                <w:sz w:val="20"/>
                <w:szCs w:val="20"/>
                <w:u w:val="none"/>
              </w:rPr>
            </w:pPr>
          </w:p>
        </w:tc>
      </w:tr>
      <w:tr w14:paraId="602A4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16"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6913B03">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i w:val="0"/>
                <w:iCs w:val="0"/>
                <w:color w:val="000000"/>
                <w:sz w:val="20"/>
                <w:szCs w:val="20"/>
                <w:u w:val="none"/>
              </w:rPr>
            </w:pPr>
          </w:p>
        </w:tc>
        <w:tc>
          <w:tcPr>
            <w:tcW w:w="586" w:type="dxa"/>
            <w:vMerge w:val="continue"/>
            <w:tcBorders>
              <w:top w:val="nil"/>
              <w:left w:val="nil"/>
              <w:bottom w:val="single" w:color="000000" w:sz="8" w:space="0"/>
              <w:right w:val="single" w:color="000000" w:sz="8" w:space="0"/>
            </w:tcBorders>
            <w:shd w:val="clear" w:color="auto" w:fill="auto"/>
            <w:vAlign w:val="center"/>
          </w:tcPr>
          <w:p w14:paraId="2131A929">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楷体_GBK" w:hAnsi="方正楷体_GBK" w:eastAsia="方正楷体_GBK" w:cs="方正楷体_GBK"/>
                <w:i w:val="0"/>
                <w:iCs w:val="0"/>
                <w:color w:val="000000"/>
                <w:sz w:val="20"/>
                <w:szCs w:val="20"/>
                <w:u w:val="none"/>
              </w:rPr>
            </w:pPr>
          </w:p>
        </w:tc>
        <w:tc>
          <w:tcPr>
            <w:tcW w:w="812" w:type="dxa"/>
            <w:vMerge w:val="continue"/>
            <w:tcBorders>
              <w:top w:val="nil"/>
              <w:left w:val="nil"/>
              <w:bottom w:val="single" w:color="000000" w:sz="8" w:space="0"/>
              <w:right w:val="single" w:color="000000" w:sz="8" w:space="0"/>
            </w:tcBorders>
            <w:shd w:val="clear" w:color="auto" w:fill="auto"/>
            <w:vAlign w:val="center"/>
          </w:tcPr>
          <w:p w14:paraId="2158D8E2">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楷体_GBK" w:hAnsi="方正楷体_GBK" w:eastAsia="方正楷体_GBK" w:cs="方正楷体_GBK"/>
                <w:i w:val="0"/>
                <w:iCs w:val="0"/>
                <w:color w:val="000000"/>
                <w:sz w:val="20"/>
                <w:szCs w:val="20"/>
                <w:u w:val="none"/>
              </w:rPr>
            </w:pPr>
          </w:p>
        </w:tc>
        <w:tc>
          <w:tcPr>
            <w:tcW w:w="914" w:type="dxa"/>
            <w:vMerge w:val="restart"/>
            <w:tcBorders>
              <w:top w:val="nil"/>
              <w:left w:val="nil"/>
              <w:bottom w:val="single" w:color="000000" w:sz="8" w:space="0"/>
              <w:right w:val="single" w:color="000000" w:sz="8" w:space="0"/>
            </w:tcBorders>
            <w:shd w:val="clear" w:color="auto" w:fill="auto"/>
            <w:noWrap/>
            <w:vAlign w:val="center"/>
          </w:tcPr>
          <w:p w14:paraId="6F3066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w:t>
            </w:r>
          </w:p>
        </w:tc>
        <w:tc>
          <w:tcPr>
            <w:tcW w:w="6935" w:type="dxa"/>
            <w:tcBorders>
              <w:top w:val="nil"/>
              <w:left w:val="nil"/>
              <w:bottom w:val="nil"/>
              <w:right w:val="single" w:color="000000" w:sz="8" w:space="0"/>
            </w:tcBorders>
            <w:shd w:val="clear" w:color="auto" w:fill="auto"/>
            <w:vAlign w:val="center"/>
          </w:tcPr>
          <w:p w14:paraId="39A26CA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增值服务：</w:t>
            </w:r>
          </w:p>
        </w:tc>
        <w:tc>
          <w:tcPr>
            <w:tcW w:w="4311" w:type="dxa"/>
            <w:vMerge w:val="restart"/>
            <w:tcBorders>
              <w:top w:val="nil"/>
              <w:left w:val="nil"/>
              <w:bottom w:val="single" w:color="000000" w:sz="8" w:space="0"/>
              <w:right w:val="single" w:color="000000" w:sz="8" w:space="0"/>
            </w:tcBorders>
            <w:shd w:val="clear" w:color="auto" w:fill="auto"/>
            <w:vAlign w:val="center"/>
          </w:tcPr>
          <w:p w14:paraId="28BA87F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注：在投标人提供的实施方案中查看是否包含评分内容，横向对比综合评分，满分为5分。</w:t>
            </w:r>
          </w:p>
        </w:tc>
      </w:tr>
      <w:tr w14:paraId="0D666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16"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BF18E5D">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i w:val="0"/>
                <w:iCs w:val="0"/>
                <w:color w:val="000000"/>
                <w:sz w:val="20"/>
                <w:szCs w:val="20"/>
                <w:u w:val="none"/>
              </w:rPr>
            </w:pPr>
          </w:p>
        </w:tc>
        <w:tc>
          <w:tcPr>
            <w:tcW w:w="586" w:type="dxa"/>
            <w:vMerge w:val="continue"/>
            <w:tcBorders>
              <w:top w:val="nil"/>
              <w:left w:val="nil"/>
              <w:bottom w:val="single" w:color="000000" w:sz="8" w:space="0"/>
              <w:right w:val="single" w:color="000000" w:sz="8" w:space="0"/>
            </w:tcBorders>
            <w:shd w:val="clear" w:color="auto" w:fill="auto"/>
            <w:vAlign w:val="center"/>
          </w:tcPr>
          <w:p w14:paraId="2BEFE444">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楷体_GBK" w:hAnsi="方正楷体_GBK" w:eastAsia="方正楷体_GBK" w:cs="方正楷体_GBK"/>
                <w:i w:val="0"/>
                <w:iCs w:val="0"/>
                <w:color w:val="000000"/>
                <w:sz w:val="20"/>
                <w:szCs w:val="20"/>
                <w:u w:val="none"/>
              </w:rPr>
            </w:pPr>
          </w:p>
        </w:tc>
        <w:tc>
          <w:tcPr>
            <w:tcW w:w="812" w:type="dxa"/>
            <w:vMerge w:val="continue"/>
            <w:tcBorders>
              <w:top w:val="nil"/>
              <w:left w:val="nil"/>
              <w:bottom w:val="single" w:color="000000" w:sz="8" w:space="0"/>
              <w:right w:val="single" w:color="000000" w:sz="8" w:space="0"/>
            </w:tcBorders>
            <w:shd w:val="clear" w:color="auto" w:fill="auto"/>
            <w:vAlign w:val="center"/>
          </w:tcPr>
          <w:p w14:paraId="53D37A40">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楷体_GBK" w:hAnsi="方正楷体_GBK" w:eastAsia="方正楷体_GBK" w:cs="方正楷体_GBK"/>
                <w:i w:val="0"/>
                <w:iCs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noWrap/>
            <w:vAlign w:val="center"/>
          </w:tcPr>
          <w:p w14:paraId="1096BAE4">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i w:val="0"/>
                <w:iCs w:val="0"/>
                <w:color w:val="000000"/>
                <w:sz w:val="20"/>
                <w:szCs w:val="20"/>
                <w:u w:val="none"/>
              </w:rPr>
            </w:pPr>
          </w:p>
        </w:tc>
        <w:tc>
          <w:tcPr>
            <w:tcW w:w="6935" w:type="dxa"/>
            <w:tcBorders>
              <w:top w:val="nil"/>
              <w:left w:val="nil"/>
              <w:bottom w:val="single" w:color="000000" w:sz="8" w:space="0"/>
              <w:right w:val="single" w:color="000000" w:sz="8" w:space="0"/>
            </w:tcBorders>
            <w:shd w:val="clear" w:color="auto" w:fill="auto"/>
            <w:vAlign w:val="center"/>
          </w:tcPr>
          <w:p w14:paraId="1FE300D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无额外服务承诺不得分，每项有价值的额外服务承诺加分，每一项加3分，本项最多得5分。</w:t>
            </w:r>
          </w:p>
        </w:tc>
        <w:tc>
          <w:tcPr>
            <w:tcW w:w="4311" w:type="dxa"/>
            <w:vMerge w:val="continue"/>
            <w:tcBorders>
              <w:top w:val="nil"/>
              <w:left w:val="nil"/>
              <w:bottom w:val="single" w:color="000000" w:sz="8" w:space="0"/>
              <w:right w:val="single" w:color="000000" w:sz="8" w:space="0"/>
            </w:tcBorders>
            <w:shd w:val="clear" w:color="auto" w:fill="auto"/>
            <w:vAlign w:val="center"/>
          </w:tcPr>
          <w:p w14:paraId="12DAF538">
            <w:pPr>
              <w:keepNext w:val="0"/>
              <w:keepLines w:val="0"/>
              <w:pageBreakBefore w:val="0"/>
              <w:widowControl/>
              <w:kinsoku/>
              <w:wordWrap/>
              <w:overflowPunct/>
              <w:topLinePunct w:val="0"/>
              <w:autoSpaceDE/>
              <w:autoSpaceDN/>
              <w:bidi w:val="0"/>
              <w:adjustRightInd/>
              <w:snapToGrid/>
              <w:spacing w:line="300" w:lineRule="exact"/>
              <w:jc w:val="left"/>
              <w:rPr>
                <w:rFonts w:hint="eastAsia" w:ascii="方正仿宋_GBK" w:hAnsi="方正仿宋_GBK" w:eastAsia="方正仿宋_GBK" w:cs="方正仿宋_GBK"/>
                <w:i w:val="0"/>
                <w:iCs w:val="0"/>
                <w:color w:val="000000"/>
                <w:sz w:val="20"/>
                <w:szCs w:val="20"/>
                <w:u w:val="none"/>
              </w:rPr>
            </w:pPr>
          </w:p>
        </w:tc>
      </w:tr>
    </w:tbl>
    <w:p w14:paraId="0014C422">
      <w:pPr>
        <w:pStyle w:val="7"/>
        <w:keepNext w:val="0"/>
        <w:keepLines w:val="0"/>
        <w:pageBreakBefore w:val="0"/>
        <w:kinsoku/>
        <w:wordWrap/>
        <w:overflowPunct/>
        <w:topLinePunct w:val="0"/>
        <w:autoSpaceDE/>
        <w:autoSpaceDN/>
        <w:bidi w:val="0"/>
        <w:adjustRightInd/>
        <w:snapToGrid/>
        <w:spacing w:line="300" w:lineRule="exact"/>
        <w:rPr>
          <w:rFonts w:ascii="方正仿宋_GBK" w:hAnsi="方正仿宋_GBK" w:eastAsia="方正仿宋_GBK" w:cs="方正仿宋_GBK"/>
          <w:sz w:val="32"/>
          <w:szCs w:val="32"/>
        </w:rPr>
        <w:sectPr>
          <w:pgSz w:w="16838" w:h="11905" w:orient="landscape"/>
          <w:pgMar w:top="1803" w:right="1440" w:bottom="1803" w:left="1440" w:header="851" w:footer="992" w:gutter="0"/>
          <w:pgNumType w:fmt="numberInDash"/>
          <w:cols w:space="0" w:num="1"/>
          <w:docGrid w:type="lines" w:linePitch="319" w:charSpace="0"/>
        </w:sectPr>
      </w:pPr>
    </w:p>
    <w:p w14:paraId="769D011B">
      <w:pPr>
        <w:ind w:firstLine="640" w:firstLineChars="200"/>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第</w:t>
      </w:r>
      <w:r>
        <w:rPr>
          <w:rFonts w:hint="eastAsia" w:ascii="方正小标宋_GBK" w:hAnsi="方正小标宋_GBK" w:eastAsia="方正小标宋_GBK" w:cs="方正小标宋_GBK"/>
          <w:sz w:val="32"/>
          <w:szCs w:val="32"/>
          <w:lang w:val="en-US" w:eastAsia="zh-CN"/>
        </w:rPr>
        <w:t>四</w:t>
      </w:r>
      <w:r>
        <w:rPr>
          <w:rFonts w:hint="eastAsia" w:ascii="方正小标宋_GBK" w:hAnsi="方正小标宋_GBK" w:eastAsia="方正小标宋_GBK" w:cs="方正小标宋_GBK"/>
          <w:sz w:val="32"/>
          <w:szCs w:val="32"/>
        </w:rPr>
        <w:t>部分  响应文件编制要求</w:t>
      </w:r>
    </w:p>
    <w:p w14:paraId="5DDDCE42">
      <w:pPr>
        <w:spacing w:line="600" w:lineRule="exact"/>
        <w:ind w:firstLine="640" w:firstLineChars="200"/>
        <w:rPr>
          <w:rFonts w:eastAsia="方正楷体_GBK"/>
          <w:sz w:val="32"/>
          <w:szCs w:val="32"/>
        </w:rPr>
      </w:pPr>
      <w:r>
        <w:rPr>
          <w:rFonts w:hint="eastAsia" w:eastAsia="方正楷体_GBK"/>
          <w:sz w:val="32"/>
          <w:szCs w:val="32"/>
        </w:rPr>
        <w:t>（一）经济部分</w:t>
      </w:r>
    </w:p>
    <w:p w14:paraId="5F8388A8">
      <w:pPr>
        <w:spacing w:line="600" w:lineRule="exact"/>
        <w:ind w:firstLine="640" w:firstLineChars="200"/>
        <w:rPr>
          <w:rFonts w:eastAsia="方正仿宋_GBK"/>
          <w:sz w:val="32"/>
          <w:szCs w:val="32"/>
        </w:rPr>
      </w:pPr>
      <w:r>
        <w:rPr>
          <w:rFonts w:hint="eastAsia" w:eastAsia="方正仿宋_GBK"/>
          <w:sz w:val="32"/>
          <w:szCs w:val="32"/>
        </w:rPr>
        <w:t>1.</w:t>
      </w:r>
      <w:r>
        <w:rPr>
          <w:rFonts w:hint="eastAsia" w:eastAsia="方正仿宋_GBK"/>
          <w:sz w:val="32"/>
          <w:szCs w:val="32"/>
          <w:lang w:eastAsia="zh-CN"/>
        </w:rPr>
        <w:t>询比</w:t>
      </w:r>
      <w:r>
        <w:rPr>
          <w:rFonts w:hint="eastAsia" w:eastAsia="方正仿宋_GBK"/>
          <w:sz w:val="32"/>
          <w:szCs w:val="32"/>
        </w:rPr>
        <w:t>报价函</w:t>
      </w:r>
    </w:p>
    <w:p w14:paraId="6BFF6A17">
      <w:pPr>
        <w:spacing w:line="600" w:lineRule="exact"/>
        <w:ind w:firstLine="640" w:firstLineChars="200"/>
        <w:rPr>
          <w:rFonts w:eastAsia="方正仿宋_GBK"/>
          <w:sz w:val="32"/>
          <w:szCs w:val="32"/>
        </w:rPr>
      </w:pPr>
      <w:r>
        <w:rPr>
          <w:rFonts w:hint="eastAsia" w:eastAsia="方正仿宋_GBK"/>
          <w:sz w:val="32"/>
          <w:szCs w:val="32"/>
        </w:rPr>
        <w:t>2.明细报价表</w:t>
      </w:r>
    </w:p>
    <w:p w14:paraId="1758A4F7">
      <w:pPr>
        <w:spacing w:line="600" w:lineRule="exact"/>
        <w:ind w:firstLine="640" w:firstLineChars="200"/>
        <w:rPr>
          <w:rFonts w:eastAsia="方正楷体_GBK"/>
          <w:sz w:val="32"/>
          <w:szCs w:val="32"/>
        </w:rPr>
      </w:pPr>
      <w:r>
        <w:rPr>
          <w:rFonts w:hint="eastAsia" w:eastAsia="方正楷体_GBK"/>
          <w:sz w:val="32"/>
          <w:szCs w:val="32"/>
        </w:rPr>
        <w:t>（二）商务部分</w:t>
      </w:r>
    </w:p>
    <w:p w14:paraId="32E8BC1A">
      <w:pPr>
        <w:spacing w:line="600" w:lineRule="exact"/>
        <w:ind w:firstLine="640" w:firstLineChars="200"/>
        <w:rPr>
          <w:rFonts w:eastAsia="方正楷体_GBK"/>
          <w:sz w:val="32"/>
          <w:szCs w:val="32"/>
        </w:rPr>
      </w:pPr>
      <w:r>
        <w:rPr>
          <w:rFonts w:hint="eastAsia" w:eastAsia="方正仿宋_GBK"/>
          <w:sz w:val="32"/>
          <w:szCs w:val="32"/>
        </w:rPr>
        <w:t>商务要求响应情况</w:t>
      </w:r>
    </w:p>
    <w:p w14:paraId="6464AA8D">
      <w:pPr>
        <w:spacing w:line="600" w:lineRule="exact"/>
        <w:ind w:firstLine="640" w:firstLineChars="200"/>
        <w:rPr>
          <w:rFonts w:eastAsia="方正楷体_GBK"/>
          <w:sz w:val="32"/>
          <w:szCs w:val="32"/>
        </w:rPr>
      </w:pPr>
      <w:r>
        <w:rPr>
          <w:rFonts w:hint="eastAsia" w:eastAsia="方正楷体_GBK"/>
          <w:sz w:val="32"/>
          <w:szCs w:val="32"/>
        </w:rPr>
        <w:t>（三）技术部分</w:t>
      </w:r>
    </w:p>
    <w:p w14:paraId="5F963158">
      <w:pPr>
        <w:spacing w:line="600" w:lineRule="exact"/>
        <w:ind w:firstLine="640" w:firstLineChars="200"/>
        <w:rPr>
          <w:rFonts w:eastAsia="方正楷体_GBK"/>
          <w:sz w:val="32"/>
          <w:szCs w:val="32"/>
        </w:rPr>
      </w:pPr>
      <w:r>
        <w:rPr>
          <w:rFonts w:hint="eastAsia" w:eastAsia="方正仿宋_GBK"/>
          <w:sz w:val="32"/>
          <w:szCs w:val="32"/>
        </w:rPr>
        <w:t>服务要求响应情况</w:t>
      </w:r>
    </w:p>
    <w:p w14:paraId="3DEC7A9F">
      <w:pPr>
        <w:snapToGrid w:val="0"/>
        <w:spacing w:line="600" w:lineRule="exact"/>
        <w:ind w:firstLine="640" w:firstLineChars="200"/>
        <w:rPr>
          <w:rFonts w:eastAsia="方正楷体_GBK"/>
          <w:sz w:val="32"/>
          <w:szCs w:val="32"/>
        </w:rPr>
      </w:pPr>
      <w:r>
        <w:rPr>
          <w:rFonts w:hint="eastAsia" w:eastAsia="方正楷体_GBK"/>
          <w:sz w:val="32"/>
          <w:szCs w:val="32"/>
        </w:rPr>
        <w:t>（四）资格文件</w:t>
      </w:r>
    </w:p>
    <w:p w14:paraId="759EB056">
      <w:pPr>
        <w:snapToGrid w:val="0"/>
        <w:spacing w:line="600" w:lineRule="exact"/>
        <w:ind w:firstLine="640" w:firstLineChars="200"/>
        <w:rPr>
          <w:rFonts w:eastAsia="方正仿宋_GBK"/>
          <w:sz w:val="32"/>
          <w:szCs w:val="32"/>
        </w:rPr>
      </w:pPr>
      <w:r>
        <w:rPr>
          <w:rFonts w:hint="eastAsia" w:eastAsia="方正仿宋_GBK"/>
          <w:sz w:val="32"/>
          <w:szCs w:val="32"/>
        </w:rPr>
        <w:t>1.营业执照（副本）复印件（加盖鲜章）</w:t>
      </w:r>
    </w:p>
    <w:p w14:paraId="5730539F">
      <w:pPr>
        <w:snapToGrid w:val="0"/>
        <w:spacing w:line="600" w:lineRule="exact"/>
        <w:ind w:firstLine="640" w:firstLineChars="200"/>
        <w:rPr>
          <w:rFonts w:eastAsia="方正仿宋_GBK"/>
          <w:sz w:val="32"/>
          <w:szCs w:val="32"/>
        </w:rPr>
      </w:pPr>
      <w:r>
        <w:rPr>
          <w:rFonts w:hint="eastAsia" w:eastAsia="方正仿宋_GBK"/>
          <w:sz w:val="32"/>
          <w:szCs w:val="32"/>
        </w:rPr>
        <w:t>2.法定代表人</w:t>
      </w:r>
      <w:r>
        <w:rPr>
          <w:rFonts w:hint="eastAsia" w:eastAsia="方正仿宋_GBK"/>
          <w:sz w:val="32"/>
          <w:szCs w:val="32"/>
          <w:lang w:val="en-US" w:eastAsia="zh-CN"/>
        </w:rPr>
        <w:t>/</w:t>
      </w:r>
      <w:r>
        <w:rPr>
          <w:rFonts w:hint="eastAsia" w:eastAsia="方正仿宋_GBK"/>
          <w:sz w:val="32"/>
          <w:szCs w:val="32"/>
        </w:rPr>
        <w:t>分公司负责人身份证明书（格式）</w:t>
      </w:r>
    </w:p>
    <w:p w14:paraId="522393C0">
      <w:pPr>
        <w:snapToGrid w:val="0"/>
        <w:spacing w:line="600" w:lineRule="exact"/>
        <w:ind w:firstLine="640" w:firstLineChars="200"/>
        <w:rPr>
          <w:rFonts w:eastAsia="方正仿宋_GBK"/>
          <w:sz w:val="32"/>
          <w:szCs w:val="32"/>
        </w:rPr>
      </w:pPr>
      <w:r>
        <w:rPr>
          <w:rFonts w:hint="eastAsia" w:eastAsia="方正仿宋_GBK"/>
          <w:sz w:val="32"/>
          <w:szCs w:val="32"/>
        </w:rPr>
        <w:t>3.法定代表人/分公司负责人授权委托书（格式）</w:t>
      </w:r>
    </w:p>
    <w:p w14:paraId="46EEDEA9">
      <w:pPr>
        <w:snapToGrid w:val="0"/>
        <w:spacing w:line="600" w:lineRule="exact"/>
        <w:ind w:firstLine="640" w:firstLineChars="200"/>
        <w:rPr>
          <w:rFonts w:eastAsia="方正仿宋_GBK"/>
          <w:sz w:val="32"/>
          <w:szCs w:val="32"/>
        </w:rPr>
      </w:pPr>
      <w:r>
        <w:rPr>
          <w:rFonts w:hint="eastAsia" w:eastAsia="方正仿宋_GBK"/>
          <w:sz w:val="32"/>
          <w:szCs w:val="32"/>
        </w:rPr>
        <w:t>4.书面声明（格式）</w:t>
      </w:r>
    </w:p>
    <w:p w14:paraId="65AFE87E">
      <w:pPr>
        <w:spacing w:line="600" w:lineRule="exact"/>
        <w:ind w:firstLine="640" w:firstLineChars="200"/>
        <w:rPr>
          <w:rFonts w:eastAsia="方正楷体_GBK"/>
          <w:sz w:val="32"/>
          <w:szCs w:val="32"/>
        </w:rPr>
      </w:pPr>
      <w:bookmarkStart w:id="12" w:name="_Toc12789073"/>
      <w:bookmarkStart w:id="13" w:name="_Toc342913419"/>
      <w:bookmarkStart w:id="14" w:name="_Toc313888360"/>
      <w:bookmarkStart w:id="15" w:name="_Toc313008356"/>
      <w:bookmarkStart w:id="16" w:name="_Toc283382454"/>
      <w:r>
        <w:rPr>
          <w:rFonts w:hint="eastAsia" w:eastAsia="方正楷体_GBK"/>
          <w:sz w:val="32"/>
          <w:szCs w:val="32"/>
        </w:rPr>
        <w:t>（五）其他应提供的资料</w:t>
      </w:r>
    </w:p>
    <w:p w14:paraId="0E3DD20E">
      <w:pPr>
        <w:spacing w:line="600" w:lineRule="exact"/>
        <w:ind w:firstLine="640" w:firstLineChars="200"/>
        <w:rPr>
          <w:rFonts w:eastAsia="方正仿宋_GBK"/>
          <w:sz w:val="32"/>
          <w:szCs w:val="32"/>
        </w:rPr>
      </w:pPr>
      <w:r>
        <w:rPr>
          <w:rFonts w:hint="eastAsia" w:eastAsia="方正仿宋_GBK"/>
          <w:sz w:val="32"/>
          <w:szCs w:val="32"/>
        </w:rPr>
        <w:t>其他与项目有关的资料（自附）</w:t>
      </w:r>
    </w:p>
    <w:p w14:paraId="4A1E17F1">
      <w:pPr>
        <w:spacing w:line="600" w:lineRule="exact"/>
        <w:ind w:firstLine="640" w:firstLineChars="200"/>
        <w:rPr>
          <w:rFonts w:ascii="方正楷体_GBK" w:hAnsi="方正楷体_GBK" w:eastAsia="方正楷体_GBK" w:cs="方正楷体_GBK"/>
          <w:sz w:val="32"/>
          <w:szCs w:val="32"/>
        </w:rPr>
      </w:pPr>
      <w:r>
        <w:rPr>
          <w:rFonts w:hint="eastAsia" w:eastAsia="方正仿宋_GBK"/>
          <w:sz w:val="32"/>
          <w:szCs w:val="32"/>
        </w:rPr>
        <w:br w:type="page"/>
      </w:r>
      <w:bookmarkEnd w:id="12"/>
      <w:bookmarkEnd w:id="13"/>
      <w:bookmarkEnd w:id="14"/>
      <w:bookmarkEnd w:id="15"/>
      <w:bookmarkEnd w:id="16"/>
      <w:bookmarkStart w:id="17" w:name="_Toc5798652"/>
      <w:bookmarkStart w:id="18" w:name="_Toc510092438"/>
      <w:r>
        <w:rPr>
          <w:rFonts w:hint="eastAsia" w:ascii="方正楷体_GBK" w:hAnsi="方正楷体_GBK" w:eastAsia="方正楷体_GBK" w:cs="方正楷体_GBK"/>
          <w:sz w:val="32"/>
          <w:szCs w:val="32"/>
        </w:rPr>
        <w:t>（一）经济部分</w:t>
      </w:r>
      <w:bookmarkEnd w:id="17"/>
      <w:bookmarkEnd w:id="18"/>
    </w:p>
    <w:p w14:paraId="461C8580">
      <w:pPr>
        <w:tabs>
          <w:tab w:val="left" w:pos="6300"/>
        </w:tabs>
        <w:snapToGrid w:val="0"/>
        <w:spacing w:line="600" w:lineRule="exact"/>
        <w:ind w:firstLine="640" w:firstLineChars="200"/>
        <w:rPr>
          <w:rFonts w:eastAsia="方正楷体_GBK"/>
          <w:sz w:val="32"/>
          <w:szCs w:val="32"/>
        </w:rPr>
      </w:pPr>
      <w:r>
        <w:rPr>
          <w:rFonts w:hint="eastAsia" w:eastAsia="方正楷体_GBK"/>
          <w:sz w:val="32"/>
          <w:szCs w:val="32"/>
        </w:rPr>
        <w:t>1.报价函</w:t>
      </w:r>
    </w:p>
    <w:p w14:paraId="6EAFBD72"/>
    <w:p w14:paraId="5D228994">
      <w:pPr>
        <w:spacing w:line="600" w:lineRule="exact"/>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报价函</w:t>
      </w:r>
    </w:p>
    <w:p w14:paraId="307C740B">
      <w:pPr>
        <w:tabs>
          <w:tab w:val="left" w:pos="6300"/>
        </w:tabs>
        <w:snapToGrid w:val="0"/>
        <w:spacing w:line="500" w:lineRule="exact"/>
        <w:rPr>
          <w:rFonts w:eastAsia="方正仿宋_GBK"/>
          <w:sz w:val="28"/>
          <w:szCs w:val="28"/>
        </w:rPr>
      </w:pPr>
      <w:r>
        <w:rPr>
          <w:rFonts w:hint="eastAsia" w:eastAsia="方正仿宋_GBK"/>
          <w:sz w:val="28"/>
          <w:szCs w:val="28"/>
          <w:u w:val="single"/>
        </w:rPr>
        <w:t>（采购人）</w:t>
      </w:r>
      <w:r>
        <w:rPr>
          <w:rFonts w:hint="eastAsia" w:eastAsia="方正仿宋_GBK"/>
          <w:sz w:val="28"/>
          <w:szCs w:val="28"/>
        </w:rPr>
        <w:t>：</w:t>
      </w:r>
    </w:p>
    <w:p w14:paraId="36E26653">
      <w:pPr>
        <w:tabs>
          <w:tab w:val="left" w:pos="6300"/>
        </w:tabs>
        <w:snapToGrid w:val="0"/>
        <w:spacing w:line="500" w:lineRule="exact"/>
        <w:ind w:firstLine="560" w:firstLineChars="200"/>
        <w:rPr>
          <w:rFonts w:eastAsia="方正仿宋_GBK"/>
          <w:sz w:val="28"/>
          <w:szCs w:val="28"/>
        </w:rPr>
      </w:pPr>
      <w:r>
        <w:rPr>
          <w:rFonts w:hint="eastAsia" w:eastAsia="方正仿宋_GBK"/>
          <w:sz w:val="28"/>
          <w:szCs w:val="28"/>
        </w:rPr>
        <w:t>我方收到____________________________（项目名称）的竞争性比选文件，经详细研究，决定参加该项目的比选。</w:t>
      </w:r>
    </w:p>
    <w:p w14:paraId="3F43E81D">
      <w:pPr>
        <w:tabs>
          <w:tab w:val="left" w:pos="6300"/>
        </w:tabs>
        <w:snapToGrid w:val="0"/>
        <w:spacing w:line="500" w:lineRule="exact"/>
        <w:ind w:firstLine="560" w:firstLineChars="200"/>
        <w:rPr>
          <w:rFonts w:eastAsia="方正仿宋_GBK"/>
          <w:sz w:val="28"/>
          <w:szCs w:val="28"/>
        </w:rPr>
      </w:pPr>
      <w:r>
        <w:rPr>
          <w:rFonts w:hint="eastAsia" w:eastAsia="方正仿宋_GBK"/>
          <w:sz w:val="28"/>
          <w:szCs w:val="28"/>
        </w:rPr>
        <w:t>1.愿意按照</w:t>
      </w:r>
      <w:r>
        <w:rPr>
          <w:rFonts w:hint="eastAsia" w:eastAsia="方正仿宋_GBK"/>
          <w:sz w:val="28"/>
          <w:szCs w:val="28"/>
          <w:lang w:eastAsia="zh-CN"/>
        </w:rPr>
        <w:t>询比</w:t>
      </w:r>
      <w:r>
        <w:rPr>
          <w:rFonts w:hint="eastAsia" w:eastAsia="方正仿宋_GBK"/>
          <w:sz w:val="28"/>
          <w:szCs w:val="28"/>
        </w:rPr>
        <w:t>文件中的一切要求。</w:t>
      </w:r>
    </w:p>
    <w:p w14:paraId="6A118DEF">
      <w:pPr>
        <w:tabs>
          <w:tab w:val="left" w:pos="6300"/>
        </w:tabs>
        <w:snapToGrid w:val="0"/>
        <w:spacing w:line="500" w:lineRule="exact"/>
        <w:ind w:firstLine="560" w:firstLineChars="200"/>
        <w:rPr>
          <w:rFonts w:eastAsia="方正仿宋_GBK"/>
          <w:sz w:val="28"/>
          <w:szCs w:val="28"/>
        </w:rPr>
      </w:pPr>
      <w:r>
        <w:rPr>
          <w:rFonts w:hint="eastAsia" w:eastAsia="方正仿宋_GBK"/>
          <w:sz w:val="28"/>
          <w:szCs w:val="28"/>
        </w:rPr>
        <w:t>报价为人民币大写：</w:t>
      </w:r>
      <w:r>
        <w:rPr>
          <w:rFonts w:hint="eastAsia" w:eastAsia="方正仿宋_GBK"/>
          <w:sz w:val="28"/>
          <w:szCs w:val="28"/>
          <w:u w:val="single"/>
        </w:rPr>
        <w:t xml:space="preserve">      </w:t>
      </w:r>
      <w:r>
        <w:rPr>
          <w:rFonts w:hint="eastAsia" w:eastAsia="方正仿宋_GBK"/>
          <w:sz w:val="28"/>
          <w:szCs w:val="28"/>
        </w:rPr>
        <w:t>元整；人民币小写：</w:t>
      </w:r>
      <w:r>
        <w:rPr>
          <w:rFonts w:hint="eastAsia" w:eastAsia="方正仿宋_GBK"/>
          <w:sz w:val="28"/>
          <w:szCs w:val="28"/>
          <w:u w:val="single"/>
        </w:rPr>
        <w:t xml:space="preserve">    </w:t>
      </w:r>
      <w:r>
        <w:rPr>
          <w:rFonts w:hint="eastAsia" w:eastAsia="方正仿宋_GBK"/>
          <w:sz w:val="28"/>
          <w:szCs w:val="28"/>
        </w:rPr>
        <w:t>元，税率</w:t>
      </w:r>
      <w:r>
        <w:rPr>
          <w:rFonts w:hint="eastAsia" w:eastAsia="方正仿宋_GBK"/>
          <w:sz w:val="28"/>
          <w:szCs w:val="28"/>
          <w:u w:val="single"/>
        </w:rPr>
        <w:t xml:space="preserve">    </w:t>
      </w:r>
      <w:r>
        <w:rPr>
          <w:rFonts w:hint="eastAsia" w:eastAsia="方正仿宋_GBK"/>
          <w:sz w:val="28"/>
          <w:szCs w:val="28"/>
        </w:rPr>
        <w:t>。</w:t>
      </w:r>
    </w:p>
    <w:p w14:paraId="7D05AE68">
      <w:pPr>
        <w:tabs>
          <w:tab w:val="left" w:pos="6300"/>
        </w:tabs>
        <w:snapToGrid w:val="0"/>
        <w:spacing w:line="500" w:lineRule="exact"/>
        <w:ind w:firstLine="560" w:firstLineChars="200"/>
        <w:rPr>
          <w:rFonts w:eastAsia="方正仿宋_GBK"/>
          <w:sz w:val="28"/>
          <w:szCs w:val="28"/>
        </w:rPr>
      </w:pPr>
      <w:r>
        <w:rPr>
          <w:rFonts w:hint="eastAsia" w:eastAsia="方正仿宋_GBK"/>
          <w:sz w:val="28"/>
          <w:szCs w:val="28"/>
        </w:rPr>
        <w:t>2.我方现提交的响应文件为：</w:t>
      </w:r>
      <w:r>
        <w:rPr>
          <w:rFonts w:hint="eastAsia" w:eastAsia="方正仿宋_GBK"/>
          <w:sz w:val="28"/>
          <w:szCs w:val="28"/>
          <w:highlight w:val="none"/>
        </w:rPr>
        <w:t>响应文件</w:t>
      </w:r>
      <w:r>
        <w:rPr>
          <w:rFonts w:hint="eastAsia" w:eastAsia="方正仿宋_GBK"/>
          <w:sz w:val="28"/>
          <w:szCs w:val="28"/>
          <w:highlight w:val="none"/>
          <w:u w:val="single"/>
        </w:rPr>
        <w:t xml:space="preserve">   </w:t>
      </w:r>
      <w:r>
        <w:rPr>
          <w:rFonts w:hint="eastAsia" w:eastAsia="方正仿宋_GBK"/>
          <w:sz w:val="28"/>
          <w:szCs w:val="28"/>
          <w:highlight w:val="none"/>
        </w:rPr>
        <w:t>份。</w:t>
      </w:r>
    </w:p>
    <w:p w14:paraId="70DD2285">
      <w:pPr>
        <w:tabs>
          <w:tab w:val="left" w:pos="6300"/>
        </w:tabs>
        <w:snapToGrid w:val="0"/>
        <w:spacing w:line="500" w:lineRule="exact"/>
        <w:ind w:firstLine="560" w:firstLineChars="200"/>
        <w:rPr>
          <w:rFonts w:eastAsia="方正仿宋_GBK"/>
          <w:sz w:val="28"/>
          <w:szCs w:val="28"/>
        </w:rPr>
      </w:pPr>
      <w:r>
        <w:rPr>
          <w:rFonts w:hint="eastAsia" w:eastAsia="方正仿宋_GBK"/>
          <w:sz w:val="28"/>
          <w:szCs w:val="28"/>
        </w:rPr>
        <w:t>3.我方完全理解和接受贵方竞争性比选文件的一切规定和要求及评审办法。</w:t>
      </w:r>
    </w:p>
    <w:p w14:paraId="74FDA817">
      <w:pPr>
        <w:tabs>
          <w:tab w:val="left" w:pos="6300"/>
        </w:tabs>
        <w:snapToGrid w:val="0"/>
        <w:spacing w:line="500" w:lineRule="exact"/>
        <w:ind w:firstLine="560" w:firstLineChars="200"/>
        <w:rPr>
          <w:rFonts w:eastAsia="方正仿宋_GBK"/>
          <w:sz w:val="28"/>
          <w:szCs w:val="28"/>
        </w:rPr>
      </w:pPr>
      <w:r>
        <w:rPr>
          <w:rFonts w:hint="eastAsia" w:eastAsia="方正仿宋_GBK"/>
          <w:sz w:val="28"/>
          <w:szCs w:val="28"/>
        </w:rPr>
        <w:t>4.在整个竞争性比选过程中，我方若有违规行为，按照国家法律法规和采购文件之规定给予惩罚。</w:t>
      </w:r>
    </w:p>
    <w:p w14:paraId="27B2E17D">
      <w:pPr>
        <w:tabs>
          <w:tab w:val="left" w:pos="6300"/>
        </w:tabs>
        <w:snapToGrid w:val="0"/>
        <w:spacing w:line="500" w:lineRule="exact"/>
        <w:ind w:firstLine="560" w:firstLineChars="200"/>
        <w:rPr>
          <w:rFonts w:eastAsia="方正仿宋_GBK"/>
          <w:sz w:val="28"/>
          <w:szCs w:val="28"/>
        </w:rPr>
      </w:pPr>
      <w:r>
        <w:rPr>
          <w:rFonts w:hint="eastAsia" w:eastAsia="方正仿宋_GBK"/>
          <w:sz w:val="28"/>
          <w:szCs w:val="28"/>
        </w:rPr>
        <w:t>5.如我方中标，我方承诺在收到中标通知书后，在中标通知书规定的期限内与你方签订合同，并且严格履行合同义务。本承诺函将成为合同不可分割的一部分，与合同具有同等的法律效力。</w:t>
      </w:r>
    </w:p>
    <w:p w14:paraId="182F9DA6">
      <w:pPr>
        <w:tabs>
          <w:tab w:val="left" w:pos="6300"/>
        </w:tabs>
        <w:snapToGrid w:val="0"/>
        <w:spacing w:line="500" w:lineRule="exact"/>
        <w:ind w:firstLine="560" w:firstLineChars="200"/>
        <w:rPr>
          <w:rFonts w:eastAsia="方正仿宋_GBK"/>
          <w:sz w:val="28"/>
          <w:szCs w:val="28"/>
        </w:rPr>
      </w:pPr>
      <w:r>
        <w:rPr>
          <w:rFonts w:hint="eastAsia" w:eastAsia="方正仿宋_GBK"/>
          <w:sz w:val="28"/>
          <w:szCs w:val="28"/>
        </w:rPr>
        <w:t>6.我方未为采购项目提供整体设计、规范编制或者项目管理、监理、检测等服务。</w:t>
      </w:r>
    </w:p>
    <w:p w14:paraId="01FD302A">
      <w:pPr>
        <w:tabs>
          <w:tab w:val="left" w:pos="6300"/>
        </w:tabs>
        <w:snapToGrid w:val="0"/>
        <w:spacing w:line="500" w:lineRule="exact"/>
        <w:ind w:firstLine="570"/>
        <w:rPr>
          <w:rFonts w:eastAsia="方正仿宋_GBK"/>
          <w:sz w:val="28"/>
          <w:szCs w:val="28"/>
        </w:rPr>
      </w:pPr>
      <w:r>
        <w:rPr>
          <w:rFonts w:hint="eastAsia" w:eastAsia="方正仿宋_GBK"/>
          <w:sz w:val="28"/>
          <w:szCs w:val="28"/>
        </w:rPr>
        <w:t>供应商（公章）：</w:t>
      </w:r>
    </w:p>
    <w:p w14:paraId="21E974CC">
      <w:pPr>
        <w:tabs>
          <w:tab w:val="left" w:pos="6300"/>
        </w:tabs>
        <w:snapToGrid w:val="0"/>
        <w:spacing w:line="500" w:lineRule="exact"/>
        <w:ind w:firstLine="570"/>
        <w:rPr>
          <w:rFonts w:eastAsia="方正仿宋_GBK"/>
          <w:sz w:val="28"/>
          <w:szCs w:val="28"/>
        </w:rPr>
      </w:pPr>
      <w:r>
        <w:rPr>
          <w:rFonts w:hint="eastAsia" w:eastAsia="方正仿宋_GBK"/>
          <w:sz w:val="28"/>
          <w:szCs w:val="28"/>
        </w:rPr>
        <w:t xml:space="preserve">地址：  </w:t>
      </w:r>
    </w:p>
    <w:p w14:paraId="37BE2FB0">
      <w:pPr>
        <w:tabs>
          <w:tab w:val="left" w:pos="6300"/>
        </w:tabs>
        <w:snapToGrid w:val="0"/>
        <w:spacing w:line="500" w:lineRule="exact"/>
        <w:ind w:firstLine="570"/>
        <w:rPr>
          <w:rFonts w:eastAsia="方正仿宋_GBK"/>
          <w:sz w:val="28"/>
          <w:szCs w:val="28"/>
        </w:rPr>
      </w:pPr>
      <w:r>
        <w:rPr>
          <w:rFonts w:hint="eastAsia" w:eastAsia="方正仿宋_GBK"/>
          <w:sz w:val="28"/>
          <w:szCs w:val="28"/>
        </w:rPr>
        <w:t>电话：                           传真：</w:t>
      </w:r>
    </w:p>
    <w:p w14:paraId="48B33B92">
      <w:pPr>
        <w:tabs>
          <w:tab w:val="left" w:pos="6300"/>
        </w:tabs>
        <w:snapToGrid w:val="0"/>
        <w:spacing w:line="500" w:lineRule="exact"/>
        <w:ind w:firstLine="570"/>
        <w:rPr>
          <w:rFonts w:eastAsia="方正仿宋_GBK"/>
          <w:sz w:val="28"/>
          <w:szCs w:val="28"/>
        </w:rPr>
      </w:pPr>
      <w:r>
        <w:rPr>
          <w:rFonts w:hint="eastAsia" w:eastAsia="方正仿宋_GBK"/>
          <w:sz w:val="28"/>
          <w:szCs w:val="28"/>
        </w:rPr>
        <w:t>网址：                           邮编：</w:t>
      </w:r>
    </w:p>
    <w:p w14:paraId="03783DD6">
      <w:pPr>
        <w:tabs>
          <w:tab w:val="left" w:pos="6300"/>
        </w:tabs>
        <w:snapToGrid w:val="0"/>
        <w:spacing w:line="500" w:lineRule="exact"/>
        <w:ind w:firstLine="570"/>
        <w:rPr>
          <w:rFonts w:eastAsia="方正仿宋_GBK"/>
          <w:sz w:val="28"/>
          <w:szCs w:val="28"/>
        </w:rPr>
      </w:pPr>
      <w:r>
        <w:rPr>
          <w:rFonts w:hint="eastAsia" w:eastAsia="方正仿宋_GBK"/>
          <w:sz w:val="28"/>
          <w:szCs w:val="28"/>
        </w:rPr>
        <w:t xml:space="preserve">联系人：                                              </w:t>
      </w:r>
    </w:p>
    <w:p w14:paraId="1D9912EC">
      <w:pPr>
        <w:snapToGrid w:val="0"/>
        <w:spacing w:line="600" w:lineRule="exact"/>
        <w:jc w:val="right"/>
        <w:rPr>
          <w:rFonts w:eastAsia="方正仿宋_GBK"/>
          <w:sz w:val="32"/>
          <w:szCs w:val="32"/>
        </w:rPr>
        <w:sectPr>
          <w:pgSz w:w="11905" w:h="16838"/>
          <w:pgMar w:top="2098" w:right="1531" w:bottom="1984" w:left="1531" w:header="851" w:footer="992" w:gutter="0"/>
          <w:pgNumType w:fmt="numberInDash"/>
          <w:cols w:space="425" w:num="1"/>
          <w:docGrid w:linePitch="380" w:charSpace="-5735"/>
        </w:sectPr>
      </w:pPr>
      <w:r>
        <w:rPr>
          <w:rFonts w:hint="eastAsia" w:eastAsia="方正仿宋_GBK"/>
          <w:sz w:val="32"/>
          <w:szCs w:val="32"/>
        </w:rPr>
        <w:t>年   月   日</w:t>
      </w:r>
    </w:p>
    <w:p w14:paraId="44DBEC25">
      <w:pPr>
        <w:tabs>
          <w:tab w:val="left" w:pos="2895"/>
        </w:tabs>
        <w:spacing w:line="360" w:lineRule="auto"/>
        <w:ind w:firstLine="640" w:firstLineChars="200"/>
        <w:rPr>
          <w:rFonts w:eastAsia="方正楷体_GBK"/>
          <w:sz w:val="32"/>
          <w:szCs w:val="32"/>
        </w:rPr>
      </w:pPr>
      <w:bookmarkStart w:id="19" w:name="_Toc429584885"/>
      <w:bookmarkStart w:id="20" w:name="_Toc471747636"/>
      <w:r>
        <w:rPr>
          <w:rFonts w:hint="eastAsia" w:eastAsia="方正楷体_GBK"/>
          <w:sz w:val="32"/>
          <w:szCs w:val="32"/>
        </w:rPr>
        <w:t>2.明细报价表</w:t>
      </w:r>
    </w:p>
    <w:p w14:paraId="547B30BF">
      <w:pPr>
        <w:jc w:val="center"/>
        <w:rPr>
          <w:rFonts w:eastAsia="方正仿宋_GBK"/>
          <w:b/>
          <w:sz w:val="32"/>
          <w:szCs w:val="32"/>
        </w:rPr>
      </w:pPr>
      <w:r>
        <w:rPr>
          <w:rFonts w:hint="eastAsia" w:eastAsia="方正仿宋_GBK"/>
          <w:b/>
          <w:sz w:val="32"/>
          <w:szCs w:val="32"/>
        </w:rPr>
        <w:t>明细报价表</w:t>
      </w:r>
    </w:p>
    <w:p w14:paraId="377B5D73">
      <w:pPr>
        <w:spacing w:line="360" w:lineRule="auto"/>
        <w:rPr>
          <w:rFonts w:eastAsia="仿宋"/>
          <w:sz w:val="24"/>
        </w:rPr>
      </w:pPr>
    </w:p>
    <w:p w14:paraId="2E7CF1C8">
      <w:pPr>
        <w:spacing w:line="360" w:lineRule="auto"/>
        <w:rPr>
          <w:rFonts w:ascii="方正仿宋_GBK" w:eastAsia="方正仿宋_GBK"/>
          <w:sz w:val="24"/>
          <w:u w:val="single"/>
        </w:rPr>
      </w:pPr>
      <w:r>
        <w:rPr>
          <w:rFonts w:hint="eastAsia" w:ascii="方正仿宋_GBK" w:eastAsia="方正仿宋_GBK"/>
          <w:sz w:val="24"/>
        </w:rPr>
        <w:t>分项采购项目：</w:t>
      </w:r>
    </w:p>
    <w:tbl>
      <w:tblPr>
        <w:tblStyle w:val="14"/>
        <w:tblW w:w="46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950"/>
        <w:gridCol w:w="2163"/>
        <w:gridCol w:w="1510"/>
        <w:gridCol w:w="1510"/>
        <w:gridCol w:w="1510"/>
      </w:tblGrid>
      <w:tr w14:paraId="0BCC2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456" w:type="pct"/>
            <w:vAlign w:val="center"/>
          </w:tcPr>
          <w:p w14:paraId="7BD50955">
            <w:pPr>
              <w:jc w:val="center"/>
              <w:rPr>
                <w:rFonts w:ascii="方正仿宋_GBK" w:eastAsia="方正仿宋_GBK"/>
                <w:b/>
                <w:sz w:val="24"/>
              </w:rPr>
            </w:pPr>
            <w:r>
              <w:rPr>
                <w:rFonts w:hint="eastAsia" w:ascii="方正仿宋_GBK" w:eastAsia="方正仿宋_GBK"/>
                <w:b/>
                <w:sz w:val="24"/>
              </w:rPr>
              <w:t>序号</w:t>
            </w:r>
          </w:p>
        </w:tc>
        <w:tc>
          <w:tcPr>
            <w:tcW w:w="564" w:type="pct"/>
            <w:vAlign w:val="center"/>
          </w:tcPr>
          <w:p w14:paraId="3594153D">
            <w:pPr>
              <w:jc w:val="center"/>
              <w:rPr>
                <w:rFonts w:ascii="方正仿宋_GBK" w:eastAsia="方正仿宋_GBK"/>
                <w:b/>
                <w:sz w:val="24"/>
              </w:rPr>
            </w:pPr>
            <w:r>
              <w:rPr>
                <w:rFonts w:hint="eastAsia" w:ascii="方正仿宋_GBK" w:eastAsia="方正仿宋_GBK"/>
                <w:b/>
                <w:sz w:val="24"/>
              </w:rPr>
              <w:t>标项</w:t>
            </w:r>
          </w:p>
        </w:tc>
        <w:tc>
          <w:tcPr>
            <w:tcW w:w="1285" w:type="pct"/>
            <w:vAlign w:val="center"/>
          </w:tcPr>
          <w:p w14:paraId="534BC458">
            <w:pPr>
              <w:jc w:val="center"/>
              <w:rPr>
                <w:rFonts w:ascii="方正仿宋_GBK" w:eastAsia="方正仿宋_GBK"/>
                <w:b/>
                <w:sz w:val="24"/>
              </w:rPr>
            </w:pPr>
            <w:r>
              <w:rPr>
                <w:rFonts w:hint="eastAsia" w:ascii="方正仿宋_GBK" w:eastAsia="方正仿宋_GBK"/>
                <w:b/>
                <w:sz w:val="24"/>
              </w:rPr>
              <w:t>标项名</w:t>
            </w:r>
          </w:p>
        </w:tc>
        <w:tc>
          <w:tcPr>
            <w:tcW w:w="898" w:type="pct"/>
            <w:vAlign w:val="center"/>
          </w:tcPr>
          <w:p w14:paraId="18FDE3D5">
            <w:pPr>
              <w:jc w:val="center"/>
              <w:rPr>
                <w:rFonts w:ascii="方正仿宋_GBK" w:eastAsia="方正仿宋_GBK"/>
                <w:b/>
                <w:sz w:val="24"/>
              </w:rPr>
            </w:pPr>
            <w:r>
              <w:rPr>
                <w:rFonts w:hint="eastAsia" w:ascii="方正仿宋_GBK" w:eastAsia="方正仿宋_GBK"/>
                <w:b/>
                <w:sz w:val="24"/>
              </w:rPr>
              <w:t>不含税总价（元）</w:t>
            </w:r>
          </w:p>
        </w:tc>
        <w:tc>
          <w:tcPr>
            <w:tcW w:w="898" w:type="pct"/>
            <w:vAlign w:val="center"/>
          </w:tcPr>
          <w:p w14:paraId="4083E04B">
            <w:pPr>
              <w:jc w:val="center"/>
              <w:rPr>
                <w:rFonts w:ascii="方正仿宋_GBK" w:eastAsia="方正仿宋_GBK"/>
                <w:b/>
                <w:sz w:val="24"/>
              </w:rPr>
            </w:pPr>
            <w:r>
              <w:rPr>
                <w:rFonts w:hint="eastAsia" w:ascii="方正仿宋_GBK" w:eastAsia="方正仿宋_GBK"/>
                <w:b/>
                <w:sz w:val="24"/>
              </w:rPr>
              <w:t>税率%</w:t>
            </w:r>
          </w:p>
        </w:tc>
        <w:tc>
          <w:tcPr>
            <w:tcW w:w="898" w:type="pct"/>
            <w:vAlign w:val="center"/>
          </w:tcPr>
          <w:p w14:paraId="3B06393C">
            <w:pPr>
              <w:jc w:val="center"/>
              <w:rPr>
                <w:rFonts w:ascii="方正仿宋_GBK" w:eastAsia="方正仿宋_GBK"/>
                <w:b/>
                <w:sz w:val="24"/>
              </w:rPr>
            </w:pPr>
            <w:r>
              <w:rPr>
                <w:rFonts w:hint="eastAsia" w:ascii="方正仿宋_GBK" w:eastAsia="方正仿宋_GBK"/>
                <w:b/>
                <w:sz w:val="24"/>
              </w:rPr>
              <w:t>含税总价（元）</w:t>
            </w:r>
          </w:p>
        </w:tc>
      </w:tr>
      <w:tr w14:paraId="5C9BC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exact"/>
          <w:jc w:val="center"/>
        </w:trPr>
        <w:tc>
          <w:tcPr>
            <w:tcW w:w="456" w:type="pct"/>
            <w:vAlign w:val="center"/>
          </w:tcPr>
          <w:p w14:paraId="740054E3">
            <w:pPr>
              <w:jc w:val="center"/>
              <w:rPr>
                <w:rFonts w:ascii="方正仿宋_GBK" w:eastAsia="方正仿宋_GBK"/>
                <w:sz w:val="24"/>
              </w:rPr>
            </w:pPr>
          </w:p>
        </w:tc>
        <w:tc>
          <w:tcPr>
            <w:tcW w:w="564" w:type="pct"/>
            <w:vAlign w:val="center"/>
          </w:tcPr>
          <w:p w14:paraId="551AFCFF">
            <w:pPr>
              <w:jc w:val="center"/>
              <w:rPr>
                <w:rFonts w:ascii="方正仿宋_GBK" w:eastAsia="方正仿宋_GBK"/>
                <w:sz w:val="24"/>
              </w:rPr>
            </w:pPr>
          </w:p>
        </w:tc>
        <w:tc>
          <w:tcPr>
            <w:tcW w:w="1285" w:type="pct"/>
          </w:tcPr>
          <w:p w14:paraId="26CB4388">
            <w:pPr>
              <w:jc w:val="center"/>
              <w:rPr>
                <w:rFonts w:ascii="方正仿宋_GBK" w:eastAsia="方正仿宋_GBK"/>
                <w:sz w:val="24"/>
              </w:rPr>
            </w:pPr>
          </w:p>
        </w:tc>
        <w:tc>
          <w:tcPr>
            <w:tcW w:w="898" w:type="pct"/>
          </w:tcPr>
          <w:p w14:paraId="0B80C3DD">
            <w:pPr>
              <w:jc w:val="center"/>
              <w:rPr>
                <w:rFonts w:ascii="方正仿宋_GBK" w:eastAsia="方正仿宋_GBK"/>
                <w:sz w:val="24"/>
              </w:rPr>
            </w:pPr>
          </w:p>
        </w:tc>
        <w:tc>
          <w:tcPr>
            <w:tcW w:w="898" w:type="pct"/>
          </w:tcPr>
          <w:p w14:paraId="3C732248">
            <w:pPr>
              <w:jc w:val="center"/>
              <w:rPr>
                <w:rFonts w:ascii="方正仿宋_GBK" w:eastAsia="方正仿宋_GBK"/>
                <w:sz w:val="24"/>
              </w:rPr>
            </w:pPr>
          </w:p>
        </w:tc>
        <w:tc>
          <w:tcPr>
            <w:tcW w:w="898" w:type="pct"/>
          </w:tcPr>
          <w:p w14:paraId="2F0FB65C">
            <w:pPr>
              <w:jc w:val="center"/>
              <w:rPr>
                <w:rFonts w:ascii="方正仿宋_GBK" w:eastAsia="方正仿宋_GBK"/>
                <w:sz w:val="24"/>
              </w:rPr>
            </w:pPr>
          </w:p>
        </w:tc>
      </w:tr>
      <w:tr w14:paraId="60701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exact"/>
          <w:jc w:val="center"/>
        </w:trPr>
        <w:tc>
          <w:tcPr>
            <w:tcW w:w="456" w:type="pct"/>
            <w:vAlign w:val="center"/>
          </w:tcPr>
          <w:p w14:paraId="3CB99E45">
            <w:pPr>
              <w:jc w:val="center"/>
              <w:rPr>
                <w:rFonts w:ascii="方正仿宋_GBK" w:eastAsia="方正仿宋_GBK"/>
                <w:sz w:val="24"/>
              </w:rPr>
            </w:pPr>
          </w:p>
        </w:tc>
        <w:tc>
          <w:tcPr>
            <w:tcW w:w="564" w:type="pct"/>
            <w:vAlign w:val="center"/>
          </w:tcPr>
          <w:p w14:paraId="0E12BF8F">
            <w:pPr>
              <w:jc w:val="center"/>
              <w:rPr>
                <w:rFonts w:ascii="方正仿宋_GBK" w:eastAsia="方正仿宋_GBK"/>
                <w:sz w:val="24"/>
              </w:rPr>
            </w:pPr>
          </w:p>
        </w:tc>
        <w:tc>
          <w:tcPr>
            <w:tcW w:w="1285" w:type="pct"/>
          </w:tcPr>
          <w:p w14:paraId="4211D648">
            <w:pPr>
              <w:jc w:val="center"/>
              <w:rPr>
                <w:rFonts w:ascii="方正仿宋_GBK" w:eastAsia="方正仿宋_GBK"/>
                <w:sz w:val="24"/>
              </w:rPr>
            </w:pPr>
          </w:p>
        </w:tc>
        <w:tc>
          <w:tcPr>
            <w:tcW w:w="898" w:type="pct"/>
          </w:tcPr>
          <w:p w14:paraId="3BB1E034">
            <w:pPr>
              <w:jc w:val="center"/>
              <w:rPr>
                <w:rFonts w:ascii="方正仿宋_GBK" w:eastAsia="方正仿宋_GBK"/>
                <w:sz w:val="24"/>
              </w:rPr>
            </w:pPr>
          </w:p>
        </w:tc>
        <w:tc>
          <w:tcPr>
            <w:tcW w:w="898" w:type="pct"/>
          </w:tcPr>
          <w:p w14:paraId="272DD615">
            <w:pPr>
              <w:jc w:val="center"/>
              <w:rPr>
                <w:rFonts w:ascii="方正仿宋_GBK" w:eastAsia="方正仿宋_GBK"/>
                <w:sz w:val="24"/>
              </w:rPr>
            </w:pPr>
          </w:p>
        </w:tc>
        <w:tc>
          <w:tcPr>
            <w:tcW w:w="898" w:type="pct"/>
          </w:tcPr>
          <w:p w14:paraId="673A68A0">
            <w:pPr>
              <w:jc w:val="center"/>
              <w:rPr>
                <w:rFonts w:ascii="方正仿宋_GBK" w:eastAsia="方正仿宋_GBK"/>
                <w:sz w:val="24"/>
              </w:rPr>
            </w:pPr>
          </w:p>
        </w:tc>
      </w:tr>
      <w:tr w14:paraId="7F4B1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exact"/>
          <w:jc w:val="center"/>
        </w:trPr>
        <w:tc>
          <w:tcPr>
            <w:tcW w:w="2305" w:type="pct"/>
            <w:gridSpan w:val="3"/>
            <w:vAlign w:val="center"/>
          </w:tcPr>
          <w:p w14:paraId="0BB7B45A">
            <w:pPr>
              <w:jc w:val="center"/>
              <w:rPr>
                <w:rFonts w:ascii="方正仿宋_GBK" w:eastAsia="方正仿宋_GBK"/>
                <w:sz w:val="24"/>
              </w:rPr>
            </w:pPr>
            <w:r>
              <w:rPr>
                <w:rFonts w:hint="eastAsia" w:ascii="方正仿宋_GBK" w:eastAsia="方正仿宋_GBK"/>
                <w:sz w:val="24"/>
              </w:rPr>
              <w:t>小计</w:t>
            </w:r>
          </w:p>
        </w:tc>
        <w:tc>
          <w:tcPr>
            <w:tcW w:w="898" w:type="pct"/>
          </w:tcPr>
          <w:p w14:paraId="1C818D7B">
            <w:pPr>
              <w:jc w:val="center"/>
              <w:rPr>
                <w:rFonts w:ascii="方正仿宋_GBK" w:eastAsia="方正仿宋_GBK"/>
                <w:sz w:val="24"/>
              </w:rPr>
            </w:pPr>
          </w:p>
        </w:tc>
        <w:tc>
          <w:tcPr>
            <w:tcW w:w="898" w:type="pct"/>
          </w:tcPr>
          <w:p w14:paraId="1FD0FC7B">
            <w:pPr>
              <w:jc w:val="center"/>
              <w:rPr>
                <w:rFonts w:ascii="方正仿宋_GBK" w:eastAsia="方正仿宋_GBK"/>
                <w:sz w:val="24"/>
              </w:rPr>
            </w:pPr>
          </w:p>
        </w:tc>
        <w:tc>
          <w:tcPr>
            <w:tcW w:w="898" w:type="pct"/>
          </w:tcPr>
          <w:p w14:paraId="0BDDEC43">
            <w:pPr>
              <w:jc w:val="center"/>
              <w:rPr>
                <w:rFonts w:ascii="方正仿宋_GBK" w:eastAsia="方正仿宋_GBK"/>
                <w:sz w:val="24"/>
              </w:rPr>
            </w:pPr>
          </w:p>
        </w:tc>
      </w:tr>
    </w:tbl>
    <w:p w14:paraId="24FAA65D">
      <w:pPr>
        <w:snapToGrid w:val="0"/>
        <w:spacing w:line="500" w:lineRule="exact"/>
        <w:ind w:firstLine="480" w:firstLineChars="200"/>
        <w:rPr>
          <w:rFonts w:eastAsia="仿宋"/>
          <w:sz w:val="24"/>
        </w:rPr>
      </w:pPr>
    </w:p>
    <w:p w14:paraId="5806223A">
      <w:pPr>
        <w:snapToGrid w:val="0"/>
        <w:spacing w:line="500" w:lineRule="exact"/>
        <w:ind w:firstLine="480" w:firstLineChars="200"/>
        <w:rPr>
          <w:rFonts w:eastAsia="仿宋"/>
          <w:sz w:val="24"/>
        </w:rPr>
      </w:pPr>
      <w:r>
        <w:rPr>
          <w:rFonts w:hint="eastAsia" w:eastAsia="仿宋"/>
          <w:sz w:val="24"/>
        </w:rPr>
        <w:t>注：1.请供应商完整填写本表。</w:t>
      </w:r>
    </w:p>
    <w:p w14:paraId="0D9D8AA5">
      <w:pPr>
        <w:snapToGrid w:val="0"/>
        <w:spacing w:line="500" w:lineRule="exact"/>
        <w:rPr>
          <w:rFonts w:eastAsia="仿宋"/>
          <w:sz w:val="24"/>
        </w:rPr>
      </w:pPr>
      <w:r>
        <w:rPr>
          <w:rFonts w:hint="eastAsia" w:eastAsia="仿宋"/>
          <w:sz w:val="24"/>
        </w:rPr>
        <w:t xml:space="preserve">        2.该表可根据需要扩展</w:t>
      </w:r>
      <w:bookmarkStart w:id="21" w:name="OLE_LINK2"/>
      <w:r>
        <w:rPr>
          <w:rFonts w:hint="eastAsia" w:eastAsia="仿宋"/>
          <w:sz w:val="24"/>
        </w:rPr>
        <w:t>，并逐页签字或盖章。</w:t>
      </w:r>
      <w:bookmarkEnd w:id="21"/>
    </w:p>
    <w:p w14:paraId="0B66A502">
      <w:pPr>
        <w:pStyle w:val="10"/>
        <w:spacing w:line="360" w:lineRule="auto"/>
        <w:rPr>
          <w:rFonts w:eastAsia="仿宋"/>
          <w:sz w:val="24"/>
          <w:szCs w:val="24"/>
        </w:rPr>
      </w:pPr>
    </w:p>
    <w:p w14:paraId="19BE7FDC">
      <w:pPr>
        <w:pStyle w:val="10"/>
        <w:spacing w:line="360" w:lineRule="auto"/>
        <w:rPr>
          <w:rFonts w:eastAsia="仿宋"/>
          <w:sz w:val="24"/>
          <w:szCs w:val="24"/>
        </w:rPr>
      </w:pPr>
      <w:r>
        <w:rPr>
          <w:rFonts w:hint="eastAsia" w:eastAsia="仿宋"/>
          <w:sz w:val="24"/>
          <w:szCs w:val="24"/>
        </w:rPr>
        <w:t xml:space="preserve">            </w:t>
      </w:r>
    </w:p>
    <w:p w14:paraId="3881D619">
      <w:pPr>
        <w:rPr>
          <w:rFonts w:eastAsia="仿宋"/>
          <w:sz w:val="24"/>
        </w:rPr>
      </w:pPr>
    </w:p>
    <w:p w14:paraId="70EF748A">
      <w:pPr>
        <w:rPr>
          <w:rFonts w:eastAsia="仿宋"/>
          <w:sz w:val="24"/>
        </w:rPr>
      </w:pPr>
    </w:p>
    <w:p w14:paraId="0EB577EF">
      <w:pPr>
        <w:spacing w:line="360" w:lineRule="auto"/>
        <w:rPr>
          <w:rFonts w:eastAsia="仿宋"/>
          <w:sz w:val="24"/>
        </w:rPr>
      </w:pPr>
      <w:r>
        <w:rPr>
          <w:rFonts w:hint="eastAsia" w:eastAsia="仿宋"/>
          <w:sz w:val="24"/>
        </w:rPr>
        <w:t xml:space="preserve">                                                   供应商名称（公章）：</w:t>
      </w:r>
    </w:p>
    <w:p w14:paraId="1F1C014C">
      <w:pPr>
        <w:spacing w:line="360" w:lineRule="auto"/>
        <w:ind w:right="480"/>
        <w:jc w:val="right"/>
        <w:rPr>
          <w:rFonts w:eastAsia="仿宋"/>
          <w:sz w:val="24"/>
        </w:rPr>
      </w:pPr>
      <w:r>
        <w:rPr>
          <w:rFonts w:hint="eastAsia" w:eastAsia="仿宋"/>
          <w:sz w:val="24"/>
        </w:rPr>
        <w:t>年     月    日</w:t>
      </w:r>
    </w:p>
    <w:p w14:paraId="2D763876">
      <w:pPr>
        <w:snapToGrid w:val="0"/>
        <w:spacing w:line="360" w:lineRule="auto"/>
        <w:ind w:firstLine="480" w:firstLineChars="200"/>
        <w:rPr>
          <w:rFonts w:eastAsia="仿宋"/>
          <w:sz w:val="24"/>
          <w:bdr w:val="single" w:color="auto" w:sz="4" w:space="0"/>
        </w:rPr>
        <w:sectPr>
          <w:pgSz w:w="11905" w:h="16838"/>
          <w:pgMar w:top="2098" w:right="1531" w:bottom="1984" w:left="1531" w:header="851" w:footer="992" w:gutter="0"/>
          <w:pgNumType w:fmt="numberInDash"/>
          <w:cols w:space="425" w:num="1"/>
          <w:docGrid w:linePitch="380" w:charSpace="-5735"/>
        </w:sectPr>
      </w:pPr>
    </w:p>
    <w:bookmarkEnd w:id="19"/>
    <w:bookmarkEnd w:id="20"/>
    <w:p w14:paraId="0D093211">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（二）商务部分</w:t>
      </w:r>
    </w:p>
    <w:p w14:paraId="2EFBDBEB">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eastAsia="方正仿宋_GBK"/>
          <w:sz w:val="32"/>
          <w:szCs w:val="32"/>
        </w:rPr>
      </w:pPr>
      <w:r>
        <w:rPr>
          <w:rFonts w:hint="eastAsia" w:eastAsia="方正仿宋_GBK"/>
          <w:sz w:val="32"/>
          <w:szCs w:val="32"/>
        </w:rPr>
        <w:t>商务要求响应情况（格式自拟）</w:t>
      </w:r>
    </w:p>
    <w:p w14:paraId="237961DB">
      <w:pPr>
        <w:tabs>
          <w:tab w:val="left" w:pos="6300"/>
        </w:tabs>
        <w:snapToGrid w:val="0"/>
        <w:spacing w:line="500" w:lineRule="exact"/>
        <w:ind w:firstLine="570"/>
        <w:rPr>
          <w:rFonts w:eastAsia="方正仿宋_GBK"/>
        </w:rPr>
      </w:pPr>
    </w:p>
    <w:p w14:paraId="1BB2EC39">
      <w:pPr>
        <w:tabs>
          <w:tab w:val="left" w:pos="6300"/>
        </w:tabs>
        <w:snapToGrid w:val="0"/>
        <w:spacing w:line="500" w:lineRule="exact"/>
        <w:ind w:firstLine="570"/>
        <w:rPr>
          <w:rFonts w:eastAsia="方正仿宋_GBK"/>
        </w:rPr>
      </w:pPr>
    </w:p>
    <w:p w14:paraId="3A66DEA2">
      <w:pPr>
        <w:tabs>
          <w:tab w:val="left" w:pos="6300"/>
        </w:tabs>
        <w:snapToGrid w:val="0"/>
        <w:spacing w:line="600" w:lineRule="exact"/>
        <w:ind w:firstLine="525" w:firstLineChars="250"/>
        <w:rPr>
          <w:rFonts w:ascii="方正楷体_GBK" w:hAnsi="方正楷体_GBK" w:eastAsia="方正楷体_GBK" w:cs="方正楷体_GBK"/>
          <w:sz w:val="32"/>
          <w:szCs w:val="32"/>
        </w:rPr>
      </w:pPr>
      <w:r>
        <w:rPr>
          <w:rFonts w:eastAsia="方正仿宋_GBK"/>
        </w:rPr>
        <w:br w:type="page"/>
      </w:r>
      <w:bookmarkStart w:id="22" w:name="_Toc5798654"/>
      <w:bookmarkStart w:id="23" w:name="_Toc313888362"/>
      <w:bookmarkStart w:id="24" w:name="_Toc342913421"/>
      <w:bookmarkStart w:id="25" w:name="_Toc510092440"/>
      <w:bookmarkStart w:id="26" w:name="_Toc313008358"/>
      <w:r>
        <w:rPr>
          <w:rFonts w:hint="eastAsia" w:ascii="方正楷体_GBK" w:hAnsi="方正楷体_GBK" w:eastAsia="方正楷体_GBK" w:cs="方正楷体_GBK"/>
          <w:sz w:val="32"/>
          <w:szCs w:val="32"/>
        </w:rPr>
        <w:t>（三）技术部分</w:t>
      </w:r>
      <w:bookmarkEnd w:id="22"/>
      <w:bookmarkEnd w:id="23"/>
      <w:bookmarkEnd w:id="24"/>
      <w:bookmarkEnd w:id="25"/>
      <w:bookmarkEnd w:id="26"/>
    </w:p>
    <w:p w14:paraId="1923203C">
      <w:pPr>
        <w:snapToGrid w:val="0"/>
        <w:spacing w:line="600" w:lineRule="exact"/>
        <w:ind w:firstLine="640" w:firstLineChars="200"/>
        <w:rPr>
          <w:rFonts w:hint="eastAsia" w:ascii="方正仿宋_GBK" w:hAnsi="方正仿宋_GBK" w:eastAsia="方正仿宋_GBK" w:cs="方正仿宋_GBK"/>
          <w:b/>
          <w:sz w:val="32"/>
          <w:szCs w:val="32"/>
        </w:rPr>
        <w:sectPr>
          <w:pgSz w:w="11905" w:h="16838"/>
          <w:pgMar w:top="2098" w:right="1531" w:bottom="1984" w:left="1531" w:header="851" w:footer="992" w:gutter="0"/>
          <w:pgNumType w:fmt="numberInDash"/>
          <w:cols w:space="425" w:num="1"/>
          <w:docGrid w:linePitch="380" w:charSpace="-5735"/>
        </w:sectPr>
      </w:pPr>
      <w:r>
        <w:rPr>
          <w:rFonts w:hint="eastAsia" w:ascii="方正仿宋_GBK" w:hAnsi="方正仿宋_GBK" w:eastAsia="方正仿宋_GBK" w:cs="方正仿宋_GBK"/>
          <w:sz w:val="32"/>
          <w:szCs w:val="32"/>
        </w:rPr>
        <w:t>技术要求响应情况（格式自拟）</w:t>
      </w:r>
    </w:p>
    <w:p w14:paraId="6D82FC29">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方正楷体_GBK" w:hAnsi="方正楷体_GBK" w:eastAsia="方正楷体_GBK" w:cs="方正楷体_GBK"/>
          <w:sz w:val="32"/>
          <w:szCs w:val="32"/>
        </w:rPr>
      </w:pPr>
      <w:bookmarkStart w:id="27" w:name="_Toc313888363"/>
      <w:bookmarkStart w:id="28" w:name="_Toc5798655"/>
      <w:bookmarkStart w:id="29" w:name="_Toc510092441"/>
      <w:bookmarkStart w:id="30" w:name="_Toc313008359"/>
      <w:bookmarkStart w:id="31" w:name="_Toc342913422"/>
      <w:r>
        <w:rPr>
          <w:rFonts w:hint="eastAsia" w:ascii="方正楷体_GBK" w:hAnsi="方正楷体_GBK" w:eastAsia="方正楷体_GBK" w:cs="方正楷体_GBK"/>
          <w:sz w:val="32"/>
          <w:szCs w:val="32"/>
        </w:rPr>
        <w:t>（四）资格条件及其他</w:t>
      </w:r>
      <w:bookmarkEnd w:id="27"/>
      <w:bookmarkEnd w:id="28"/>
      <w:bookmarkEnd w:id="29"/>
      <w:bookmarkEnd w:id="30"/>
      <w:bookmarkEnd w:id="31"/>
    </w:p>
    <w:p w14:paraId="706BC4D2">
      <w:pPr>
        <w:keepNext w:val="0"/>
        <w:keepLines w:val="0"/>
        <w:pageBreakBefore w:val="0"/>
        <w:widowControl w:val="0"/>
        <w:tabs>
          <w:tab w:val="left" w:pos="6300"/>
        </w:tabs>
        <w:kinsoku/>
        <w:wordWrap/>
        <w:overflowPunct/>
        <w:topLinePunct w:val="0"/>
        <w:autoSpaceDE/>
        <w:autoSpaceDN/>
        <w:bidi w:val="0"/>
        <w:adjustRightInd/>
        <w:snapToGrid w:val="0"/>
        <w:spacing w:line="600" w:lineRule="exact"/>
        <w:ind w:firstLine="640" w:firstLineChars="200"/>
        <w:textAlignment w:val="auto"/>
        <w:rPr>
          <w:rFonts w:eastAsia="方正楷体_GBK"/>
          <w:sz w:val="32"/>
          <w:szCs w:val="32"/>
        </w:rPr>
      </w:pPr>
      <w:r>
        <w:rPr>
          <w:rFonts w:hint="eastAsia" w:eastAsia="方正楷体_GBK"/>
          <w:sz w:val="32"/>
          <w:szCs w:val="32"/>
        </w:rPr>
        <w:t>1.营业执照（副本）复印件</w:t>
      </w:r>
    </w:p>
    <w:p w14:paraId="5543D352">
      <w:pPr>
        <w:tabs>
          <w:tab w:val="left" w:pos="6300"/>
        </w:tabs>
        <w:snapToGrid w:val="0"/>
        <w:spacing w:line="500" w:lineRule="exact"/>
        <w:ind w:firstLine="570"/>
        <w:rPr>
          <w:rFonts w:eastAsia="仿宋"/>
          <w:sz w:val="24"/>
        </w:rPr>
      </w:pPr>
    </w:p>
    <w:p w14:paraId="52716E43">
      <w:pPr>
        <w:keepNext w:val="0"/>
        <w:keepLines w:val="0"/>
        <w:pageBreakBefore w:val="0"/>
        <w:widowControl/>
        <w:kinsoku/>
        <w:wordWrap/>
        <w:overflowPunct/>
        <w:topLinePunct w:val="0"/>
        <w:autoSpaceDE/>
        <w:autoSpaceDN/>
        <w:bidi w:val="0"/>
        <w:adjustRightInd/>
        <w:snapToGrid/>
        <w:spacing w:line="600" w:lineRule="exact"/>
        <w:ind w:firstLine="420" w:firstLineChars="200"/>
        <w:jc w:val="both"/>
        <w:textAlignment w:val="auto"/>
      </w:pPr>
      <w:r>
        <w:br w:type="page"/>
      </w:r>
    </w:p>
    <w:p w14:paraId="274895CF">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eastAsia="方正楷体_GBK"/>
          <w:sz w:val="32"/>
          <w:szCs w:val="32"/>
        </w:rPr>
      </w:pPr>
      <w:r>
        <w:rPr>
          <w:rFonts w:hint="eastAsia" w:eastAsia="方正楷体_GBK"/>
          <w:sz w:val="32"/>
          <w:szCs w:val="32"/>
          <w:lang w:val="en-US" w:eastAsia="zh-CN"/>
        </w:rPr>
        <w:t>2.</w:t>
      </w:r>
      <w:r>
        <w:rPr>
          <w:rFonts w:hint="eastAsia" w:eastAsia="方正楷体_GBK"/>
          <w:sz w:val="32"/>
          <w:szCs w:val="32"/>
        </w:rPr>
        <w:t>法定代表人/分公司负责人身份证明书（格式）</w:t>
      </w:r>
    </w:p>
    <w:p w14:paraId="13BA2BEE">
      <w:pPr>
        <w:keepNext w:val="0"/>
        <w:keepLines w:val="0"/>
        <w:pageBreakBefore w:val="0"/>
        <w:widowControl w:val="0"/>
        <w:tabs>
          <w:tab w:val="left" w:pos="6300"/>
        </w:tabs>
        <w:kinsoku/>
        <w:wordWrap/>
        <w:overflowPunct/>
        <w:topLinePunct w:val="0"/>
        <w:autoSpaceDE/>
        <w:autoSpaceDN/>
        <w:bidi w:val="0"/>
        <w:adjustRightInd/>
        <w:snapToGrid w:val="0"/>
        <w:spacing w:line="600" w:lineRule="exact"/>
        <w:ind w:firstLine="640" w:firstLineChars="200"/>
        <w:textAlignment w:val="auto"/>
        <w:rPr>
          <w:rFonts w:eastAsia="方正仿宋_GBK"/>
          <w:sz w:val="32"/>
          <w:szCs w:val="32"/>
        </w:rPr>
      </w:pPr>
    </w:p>
    <w:p w14:paraId="630439F2">
      <w:pPr>
        <w:keepNext w:val="0"/>
        <w:keepLines w:val="0"/>
        <w:pageBreakBefore w:val="0"/>
        <w:widowControl w:val="0"/>
        <w:tabs>
          <w:tab w:val="left" w:pos="6300"/>
        </w:tabs>
        <w:kinsoku/>
        <w:wordWrap/>
        <w:overflowPunct/>
        <w:topLinePunct w:val="0"/>
        <w:autoSpaceDE/>
        <w:autoSpaceDN/>
        <w:bidi w:val="0"/>
        <w:adjustRightInd/>
        <w:snapToGrid w:val="0"/>
        <w:spacing w:line="600" w:lineRule="exact"/>
        <w:ind w:firstLine="640" w:firstLineChars="200"/>
        <w:textAlignment w:val="auto"/>
        <w:rPr>
          <w:rFonts w:eastAsia="方正仿宋_GBK"/>
          <w:sz w:val="32"/>
          <w:szCs w:val="32"/>
        </w:rPr>
      </w:pPr>
      <w:r>
        <w:rPr>
          <w:rFonts w:hint="eastAsia" w:eastAsia="方正仿宋_GBK"/>
          <w:sz w:val="32"/>
          <w:szCs w:val="32"/>
        </w:rPr>
        <w:t>项目名称：</w:t>
      </w:r>
      <w:r>
        <w:rPr>
          <w:rFonts w:hint="eastAsia" w:eastAsia="方正仿宋_GBK"/>
          <w:sz w:val="32"/>
          <w:szCs w:val="32"/>
          <w:u w:val="single"/>
        </w:rPr>
        <w:t xml:space="preserve">                                       </w:t>
      </w:r>
    </w:p>
    <w:p w14:paraId="018CDB7A">
      <w:pPr>
        <w:keepNext w:val="0"/>
        <w:keepLines w:val="0"/>
        <w:pageBreakBefore w:val="0"/>
        <w:widowControl w:val="0"/>
        <w:tabs>
          <w:tab w:val="left" w:pos="6300"/>
        </w:tabs>
        <w:kinsoku/>
        <w:wordWrap/>
        <w:overflowPunct/>
        <w:topLinePunct w:val="0"/>
        <w:autoSpaceDE/>
        <w:autoSpaceDN/>
        <w:bidi w:val="0"/>
        <w:adjustRightInd/>
        <w:snapToGrid w:val="0"/>
        <w:spacing w:line="600" w:lineRule="exact"/>
        <w:ind w:firstLine="640" w:firstLineChars="200"/>
        <w:textAlignment w:val="auto"/>
        <w:rPr>
          <w:rFonts w:eastAsia="方正仿宋_GBK"/>
          <w:sz w:val="32"/>
          <w:szCs w:val="32"/>
        </w:rPr>
      </w:pPr>
    </w:p>
    <w:p w14:paraId="0A32A144">
      <w:pPr>
        <w:keepNext w:val="0"/>
        <w:keepLines w:val="0"/>
        <w:pageBreakBefore w:val="0"/>
        <w:widowControl w:val="0"/>
        <w:tabs>
          <w:tab w:val="left" w:pos="6300"/>
        </w:tabs>
        <w:kinsoku/>
        <w:wordWrap/>
        <w:overflowPunct/>
        <w:topLinePunct w:val="0"/>
        <w:autoSpaceDE/>
        <w:autoSpaceDN/>
        <w:bidi w:val="0"/>
        <w:adjustRightInd/>
        <w:snapToGrid w:val="0"/>
        <w:spacing w:line="600" w:lineRule="exact"/>
        <w:ind w:firstLine="640" w:firstLineChars="200"/>
        <w:textAlignment w:val="auto"/>
        <w:rPr>
          <w:rFonts w:eastAsia="方正仿宋_GBK"/>
          <w:sz w:val="32"/>
          <w:szCs w:val="32"/>
        </w:rPr>
      </w:pPr>
      <w:r>
        <w:rPr>
          <w:rFonts w:hint="eastAsia" w:eastAsia="方正仿宋_GBK"/>
          <w:sz w:val="32"/>
          <w:szCs w:val="32"/>
        </w:rPr>
        <w:t>致：</w:t>
      </w:r>
      <w:r>
        <w:rPr>
          <w:rFonts w:hint="eastAsia" w:eastAsia="方正仿宋_GBK"/>
          <w:sz w:val="32"/>
          <w:szCs w:val="32"/>
          <w:u w:val="single"/>
        </w:rPr>
        <w:t xml:space="preserve">                     </w:t>
      </w:r>
      <w:r>
        <w:rPr>
          <w:rFonts w:hint="eastAsia" w:eastAsia="方正仿宋_GBK"/>
          <w:sz w:val="32"/>
          <w:szCs w:val="32"/>
        </w:rPr>
        <w:t>：</w:t>
      </w:r>
    </w:p>
    <w:p w14:paraId="3498D7CF">
      <w:pPr>
        <w:keepNext w:val="0"/>
        <w:keepLines w:val="0"/>
        <w:pageBreakBefore w:val="0"/>
        <w:widowControl w:val="0"/>
        <w:tabs>
          <w:tab w:val="left" w:pos="6300"/>
        </w:tabs>
        <w:kinsoku/>
        <w:wordWrap/>
        <w:overflowPunct/>
        <w:topLinePunct w:val="0"/>
        <w:autoSpaceDE/>
        <w:autoSpaceDN/>
        <w:bidi w:val="0"/>
        <w:adjustRightInd/>
        <w:snapToGrid w:val="0"/>
        <w:spacing w:line="600" w:lineRule="exact"/>
        <w:ind w:firstLine="640" w:firstLineChars="200"/>
        <w:textAlignment w:val="auto"/>
        <w:rPr>
          <w:rFonts w:eastAsia="方正仿宋_GBK"/>
          <w:sz w:val="32"/>
          <w:szCs w:val="32"/>
        </w:rPr>
      </w:pPr>
      <w:r>
        <w:rPr>
          <w:rFonts w:hint="eastAsia" w:eastAsia="方正仿宋_GBK"/>
          <w:sz w:val="32"/>
          <w:szCs w:val="32"/>
          <w:u w:val="single"/>
        </w:rPr>
        <w:t xml:space="preserve">             </w:t>
      </w:r>
      <w:r>
        <w:rPr>
          <w:rFonts w:hint="eastAsia" w:eastAsia="方正仿宋_GBK"/>
          <w:sz w:val="32"/>
          <w:szCs w:val="32"/>
        </w:rPr>
        <w:t>（法定代表人/分公司负责人姓名）在</w:t>
      </w:r>
      <w:r>
        <w:rPr>
          <w:rFonts w:hint="eastAsia" w:eastAsia="方正仿宋_GBK"/>
          <w:sz w:val="32"/>
          <w:szCs w:val="32"/>
          <w:u w:val="single"/>
        </w:rPr>
        <w:t xml:space="preserve">                       </w:t>
      </w:r>
      <w:r>
        <w:rPr>
          <w:rFonts w:hint="eastAsia" w:eastAsia="方正仿宋_GBK"/>
          <w:sz w:val="32"/>
          <w:szCs w:val="32"/>
        </w:rPr>
        <w:t>（供应商名称）任</w:t>
      </w:r>
      <w:r>
        <w:rPr>
          <w:rFonts w:hint="eastAsia" w:eastAsia="方正仿宋_GBK"/>
          <w:sz w:val="32"/>
          <w:szCs w:val="32"/>
          <w:u w:val="single"/>
        </w:rPr>
        <w:t xml:space="preserve">    </w:t>
      </w:r>
      <w:r>
        <w:rPr>
          <w:rFonts w:hint="eastAsia" w:eastAsia="方正仿宋_GBK"/>
          <w:sz w:val="32"/>
          <w:szCs w:val="32"/>
        </w:rPr>
        <w:t>（职务名称）职务，是（供应商名称）</w:t>
      </w:r>
      <w:r>
        <w:rPr>
          <w:rFonts w:hint="eastAsia" w:eastAsia="方正仿宋_GBK"/>
          <w:sz w:val="32"/>
          <w:szCs w:val="32"/>
          <w:u w:val="single"/>
        </w:rPr>
        <w:t xml:space="preserve">              </w:t>
      </w:r>
      <w:r>
        <w:rPr>
          <w:rFonts w:hint="eastAsia" w:eastAsia="方正仿宋_GBK"/>
          <w:sz w:val="32"/>
          <w:szCs w:val="32"/>
        </w:rPr>
        <w:t>的法定代表人/分公司负责人。</w:t>
      </w:r>
    </w:p>
    <w:p w14:paraId="590F0CF9">
      <w:pPr>
        <w:keepNext w:val="0"/>
        <w:keepLines w:val="0"/>
        <w:pageBreakBefore w:val="0"/>
        <w:widowControl w:val="0"/>
        <w:tabs>
          <w:tab w:val="left" w:pos="6300"/>
        </w:tabs>
        <w:kinsoku/>
        <w:wordWrap/>
        <w:overflowPunct/>
        <w:topLinePunct w:val="0"/>
        <w:autoSpaceDE/>
        <w:autoSpaceDN/>
        <w:bidi w:val="0"/>
        <w:adjustRightInd/>
        <w:snapToGrid w:val="0"/>
        <w:spacing w:line="600" w:lineRule="exact"/>
        <w:ind w:firstLine="640" w:firstLineChars="200"/>
        <w:textAlignment w:val="auto"/>
        <w:rPr>
          <w:rFonts w:eastAsia="方正仿宋_GBK"/>
          <w:sz w:val="32"/>
          <w:szCs w:val="32"/>
        </w:rPr>
      </w:pPr>
      <w:r>
        <w:rPr>
          <w:rFonts w:hint="eastAsia" w:eastAsia="方正仿宋_GBK"/>
          <w:sz w:val="32"/>
          <w:szCs w:val="32"/>
        </w:rPr>
        <w:t>特此证明。</w:t>
      </w:r>
    </w:p>
    <w:p w14:paraId="635E9C80">
      <w:pPr>
        <w:keepNext w:val="0"/>
        <w:keepLines w:val="0"/>
        <w:pageBreakBefore w:val="0"/>
        <w:tabs>
          <w:tab w:val="left" w:pos="6300"/>
        </w:tabs>
        <w:kinsoku/>
        <w:wordWrap/>
        <w:overflowPunct/>
        <w:topLinePunct w:val="0"/>
        <w:autoSpaceDE/>
        <w:autoSpaceDN/>
        <w:bidi w:val="0"/>
        <w:adjustRightInd/>
        <w:snapToGrid w:val="0"/>
        <w:spacing w:line="600" w:lineRule="exact"/>
        <w:ind w:firstLine="640" w:firstLineChars="200"/>
        <w:textAlignment w:val="auto"/>
        <w:rPr>
          <w:rFonts w:eastAsia="方正仿宋_GBK"/>
          <w:sz w:val="32"/>
          <w:szCs w:val="32"/>
        </w:rPr>
      </w:pPr>
    </w:p>
    <w:p w14:paraId="5883D1FF">
      <w:pPr>
        <w:keepNext w:val="0"/>
        <w:keepLines w:val="0"/>
        <w:pageBreakBefore w:val="0"/>
        <w:tabs>
          <w:tab w:val="left" w:pos="6300"/>
        </w:tabs>
        <w:kinsoku/>
        <w:wordWrap/>
        <w:overflowPunct/>
        <w:topLinePunct w:val="0"/>
        <w:autoSpaceDE/>
        <w:autoSpaceDN/>
        <w:bidi w:val="0"/>
        <w:adjustRightInd/>
        <w:snapToGrid w:val="0"/>
        <w:spacing w:line="600" w:lineRule="exact"/>
        <w:ind w:firstLine="640" w:firstLineChars="200"/>
        <w:textAlignment w:val="auto"/>
        <w:rPr>
          <w:rFonts w:eastAsia="方正仿宋_GBK"/>
          <w:sz w:val="32"/>
          <w:szCs w:val="32"/>
        </w:rPr>
      </w:pPr>
    </w:p>
    <w:p w14:paraId="2383E5E8">
      <w:pPr>
        <w:keepNext w:val="0"/>
        <w:keepLines w:val="0"/>
        <w:pageBreakBefore w:val="0"/>
        <w:tabs>
          <w:tab w:val="left" w:pos="6300"/>
        </w:tabs>
        <w:kinsoku/>
        <w:wordWrap/>
        <w:overflowPunct/>
        <w:topLinePunct w:val="0"/>
        <w:autoSpaceDE/>
        <w:autoSpaceDN/>
        <w:bidi w:val="0"/>
        <w:adjustRightInd/>
        <w:snapToGrid w:val="0"/>
        <w:spacing w:line="600" w:lineRule="exact"/>
        <w:ind w:firstLine="640" w:firstLineChars="200"/>
        <w:textAlignment w:val="auto"/>
        <w:rPr>
          <w:rFonts w:eastAsia="方正仿宋_GBK"/>
          <w:sz w:val="32"/>
          <w:szCs w:val="32"/>
        </w:rPr>
      </w:pPr>
    </w:p>
    <w:p w14:paraId="722069FB">
      <w:pPr>
        <w:keepNext w:val="0"/>
        <w:keepLines w:val="0"/>
        <w:pageBreakBefore w:val="0"/>
        <w:tabs>
          <w:tab w:val="left" w:pos="6300"/>
        </w:tabs>
        <w:kinsoku/>
        <w:wordWrap/>
        <w:overflowPunct/>
        <w:topLinePunct w:val="0"/>
        <w:autoSpaceDE/>
        <w:autoSpaceDN/>
        <w:bidi w:val="0"/>
        <w:adjustRightInd/>
        <w:snapToGrid w:val="0"/>
        <w:spacing w:line="600" w:lineRule="exact"/>
        <w:ind w:firstLine="640" w:firstLineChars="200"/>
        <w:textAlignment w:val="auto"/>
        <w:rPr>
          <w:rFonts w:eastAsia="方正仿宋_GBK"/>
          <w:sz w:val="32"/>
          <w:szCs w:val="32"/>
        </w:rPr>
      </w:pPr>
      <w:r>
        <w:rPr>
          <w:rFonts w:hint="eastAsia" w:eastAsia="方正仿宋_GBK"/>
          <w:sz w:val="32"/>
          <w:szCs w:val="32"/>
        </w:rPr>
        <w:t xml:space="preserve">                                   （供应商公章）</w:t>
      </w:r>
    </w:p>
    <w:p w14:paraId="282C24AB">
      <w:pPr>
        <w:keepNext w:val="0"/>
        <w:keepLines w:val="0"/>
        <w:pageBreakBefore w:val="0"/>
        <w:tabs>
          <w:tab w:val="left" w:pos="6300"/>
        </w:tabs>
        <w:kinsoku/>
        <w:wordWrap/>
        <w:overflowPunct/>
        <w:topLinePunct w:val="0"/>
        <w:autoSpaceDE/>
        <w:autoSpaceDN/>
        <w:bidi w:val="0"/>
        <w:adjustRightInd/>
        <w:snapToGrid w:val="0"/>
        <w:spacing w:line="600" w:lineRule="exact"/>
        <w:ind w:firstLine="640" w:firstLineChars="200"/>
        <w:textAlignment w:val="auto"/>
        <w:rPr>
          <w:rFonts w:eastAsia="方正仿宋_GBK"/>
          <w:sz w:val="32"/>
          <w:szCs w:val="32"/>
        </w:rPr>
      </w:pPr>
      <w:r>
        <w:rPr>
          <w:rFonts w:hint="eastAsia" w:eastAsia="方正仿宋_GBK"/>
          <w:sz w:val="32"/>
          <w:szCs w:val="32"/>
        </w:rPr>
        <w:t xml:space="preserve">                                 年   月   日</w:t>
      </w:r>
    </w:p>
    <w:p w14:paraId="4AAF3396">
      <w:pPr>
        <w:keepNext w:val="0"/>
        <w:keepLines w:val="0"/>
        <w:pageBreakBefore w:val="0"/>
        <w:tabs>
          <w:tab w:val="left" w:pos="6300"/>
        </w:tabs>
        <w:kinsoku/>
        <w:wordWrap/>
        <w:overflowPunct/>
        <w:topLinePunct w:val="0"/>
        <w:autoSpaceDE/>
        <w:autoSpaceDN/>
        <w:bidi w:val="0"/>
        <w:adjustRightInd/>
        <w:snapToGrid w:val="0"/>
        <w:spacing w:line="600" w:lineRule="exact"/>
        <w:ind w:firstLine="640" w:firstLineChars="200"/>
        <w:textAlignment w:val="auto"/>
        <w:rPr>
          <w:rFonts w:eastAsia="方正仿宋_GBK"/>
          <w:sz w:val="32"/>
          <w:szCs w:val="32"/>
        </w:rPr>
      </w:pPr>
    </w:p>
    <w:p w14:paraId="6D9C242F">
      <w:pPr>
        <w:keepNext w:val="0"/>
        <w:keepLines w:val="0"/>
        <w:pageBreakBefore w:val="0"/>
        <w:tabs>
          <w:tab w:val="left" w:pos="6300"/>
        </w:tabs>
        <w:kinsoku/>
        <w:wordWrap/>
        <w:overflowPunct/>
        <w:topLinePunct w:val="0"/>
        <w:autoSpaceDE/>
        <w:autoSpaceDN/>
        <w:bidi w:val="0"/>
        <w:adjustRightInd/>
        <w:snapToGrid w:val="0"/>
        <w:spacing w:line="600" w:lineRule="exact"/>
        <w:ind w:firstLine="640" w:firstLineChars="200"/>
        <w:textAlignment w:val="auto"/>
        <w:rPr>
          <w:rFonts w:eastAsia="方正仿宋_GBK"/>
          <w:sz w:val="32"/>
          <w:szCs w:val="32"/>
        </w:rPr>
      </w:pPr>
      <w:r>
        <w:rPr>
          <w:rFonts w:hint="eastAsia" w:eastAsia="方正仿宋_GBK"/>
          <w:sz w:val="32"/>
          <w:szCs w:val="32"/>
        </w:rPr>
        <w:t>（附：法定代表人/分公司负责人身份证正反面复印件）</w:t>
      </w:r>
    </w:p>
    <w:p w14:paraId="2E8AF9CE">
      <w:pPr>
        <w:tabs>
          <w:tab w:val="left" w:pos="6300"/>
        </w:tabs>
        <w:snapToGrid w:val="0"/>
        <w:spacing w:line="600" w:lineRule="exact"/>
        <w:ind w:firstLine="570"/>
        <w:rPr>
          <w:rFonts w:eastAsia="方正仿宋_GBK"/>
          <w:sz w:val="32"/>
          <w:szCs w:val="32"/>
        </w:rPr>
      </w:pPr>
    </w:p>
    <w:p w14:paraId="6DD1E887">
      <w:pPr>
        <w:tabs>
          <w:tab w:val="left" w:pos="6300"/>
        </w:tabs>
        <w:snapToGrid w:val="0"/>
        <w:spacing w:line="600" w:lineRule="exact"/>
        <w:ind w:firstLine="640" w:firstLineChars="200"/>
        <w:rPr>
          <w:rFonts w:eastAsia="方正仿宋_GBK"/>
          <w:sz w:val="32"/>
          <w:szCs w:val="32"/>
        </w:rPr>
      </w:pPr>
    </w:p>
    <w:p w14:paraId="72229CA1">
      <w:pPr>
        <w:tabs>
          <w:tab w:val="left" w:pos="6300"/>
        </w:tabs>
        <w:snapToGrid w:val="0"/>
        <w:spacing w:line="600" w:lineRule="exact"/>
        <w:ind w:firstLine="640" w:firstLineChars="200"/>
        <w:rPr>
          <w:rFonts w:eastAsia="方正仿宋_GBK"/>
          <w:sz w:val="32"/>
          <w:szCs w:val="32"/>
        </w:rPr>
      </w:pPr>
    </w:p>
    <w:p w14:paraId="61572C7F">
      <w:pPr>
        <w:tabs>
          <w:tab w:val="left" w:pos="6300"/>
        </w:tabs>
        <w:snapToGrid w:val="0"/>
        <w:spacing w:line="600" w:lineRule="exact"/>
        <w:ind w:firstLine="640" w:firstLineChars="200"/>
        <w:rPr>
          <w:rFonts w:eastAsia="方正仿宋_GBK"/>
          <w:sz w:val="32"/>
          <w:szCs w:val="32"/>
        </w:rPr>
      </w:pPr>
    </w:p>
    <w:p w14:paraId="0D02DD5E">
      <w:pPr>
        <w:tabs>
          <w:tab w:val="left" w:pos="6300"/>
        </w:tabs>
        <w:snapToGrid w:val="0"/>
        <w:spacing w:line="600" w:lineRule="exact"/>
        <w:ind w:firstLine="640" w:firstLineChars="200"/>
        <w:rPr>
          <w:rFonts w:eastAsia="方正仿宋_GBK"/>
          <w:sz w:val="32"/>
          <w:szCs w:val="32"/>
        </w:rPr>
      </w:pPr>
    </w:p>
    <w:p w14:paraId="3A88A087">
      <w:pPr>
        <w:rPr>
          <w:rFonts w:hint="eastAsia" w:eastAsia="方正楷体_GBK"/>
          <w:sz w:val="32"/>
          <w:szCs w:val="32"/>
        </w:rPr>
      </w:pPr>
      <w:r>
        <w:rPr>
          <w:rFonts w:hint="eastAsia" w:eastAsia="方正楷体_GBK"/>
          <w:sz w:val="32"/>
          <w:szCs w:val="32"/>
        </w:rPr>
        <w:br w:type="page"/>
      </w:r>
    </w:p>
    <w:p w14:paraId="2BD31E51">
      <w:pPr>
        <w:keepNext w:val="0"/>
        <w:keepLines w:val="0"/>
        <w:pageBreakBefore w:val="0"/>
        <w:widowControl w:val="0"/>
        <w:tabs>
          <w:tab w:val="left" w:pos="6300"/>
        </w:tabs>
        <w:kinsoku/>
        <w:wordWrap/>
        <w:overflowPunct/>
        <w:topLinePunct w:val="0"/>
        <w:autoSpaceDE/>
        <w:autoSpaceDN/>
        <w:bidi w:val="0"/>
        <w:adjustRightInd/>
        <w:snapToGrid w:val="0"/>
        <w:spacing w:line="600" w:lineRule="exact"/>
        <w:ind w:firstLine="640" w:firstLineChars="200"/>
        <w:textAlignment w:val="auto"/>
        <w:rPr>
          <w:rFonts w:eastAsia="方正仿宋_GBK"/>
          <w:sz w:val="32"/>
          <w:szCs w:val="32"/>
        </w:rPr>
      </w:pPr>
      <w:r>
        <w:rPr>
          <w:rFonts w:hint="eastAsia" w:eastAsia="方正楷体_GBK"/>
          <w:sz w:val="32"/>
          <w:szCs w:val="32"/>
        </w:rPr>
        <w:t>3.法定代表人/分公司负责人授权委托书（格式）</w:t>
      </w:r>
    </w:p>
    <w:p w14:paraId="104EB792">
      <w:pPr>
        <w:keepNext w:val="0"/>
        <w:keepLines w:val="0"/>
        <w:pageBreakBefore w:val="0"/>
        <w:widowControl w:val="0"/>
        <w:tabs>
          <w:tab w:val="left" w:pos="6300"/>
        </w:tabs>
        <w:kinsoku/>
        <w:wordWrap/>
        <w:overflowPunct/>
        <w:topLinePunct w:val="0"/>
        <w:autoSpaceDE/>
        <w:autoSpaceDN/>
        <w:bidi w:val="0"/>
        <w:adjustRightInd/>
        <w:snapToGrid w:val="0"/>
        <w:spacing w:line="600" w:lineRule="exact"/>
        <w:ind w:firstLine="640" w:firstLineChars="200"/>
        <w:textAlignment w:val="auto"/>
        <w:rPr>
          <w:rFonts w:eastAsia="方正仿宋_GBK"/>
          <w:sz w:val="32"/>
          <w:szCs w:val="32"/>
        </w:rPr>
      </w:pPr>
      <w:r>
        <w:rPr>
          <w:rFonts w:hint="eastAsia" w:eastAsia="方正仿宋_GBK"/>
          <w:sz w:val="32"/>
          <w:szCs w:val="32"/>
        </w:rPr>
        <w:t>项目名称：</w:t>
      </w:r>
      <w:r>
        <w:rPr>
          <w:rFonts w:hint="eastAsia" w:eastAsia="方正仿宋_GBK"/>
          <w:sz w:val="32"/>
          <w:szCs w:val="32"/>
          <w:u w:val="single"/>
        </w:rPr>
        <w:t xml:space="preserve">                                                </w:t>
      </w:r>
    </w:p>
    <w:p w14:paraId="3EB579B0">
      <w:pPr>
        <w:keepNext w:val="0"/>
        <w:keepLines w:val="0"/>
        <w:pageBreakBefore w:val="0"/>
        <w:widowControl w:val="0"/>
        <w:tabs>
          <w:tab w:val="left" w:pos="6300"/>
        </w:tabs>
        <w:kinsoku/>
        <w:wordWrap/>
        <w:overflowPunct/>
        <w:topLinePunct w:val="0"/>
        <w:autoSpaceDE/>
        <w:autoSpaceDN/>
        <w:bidi w:val="0"/>
        <w:adjustRightInd/>
        <w:snapToGrid w:val="0"/>
        <w:spacing w:line="600" w:lineRule="exact"/>
        <w:ind w:firstLine="640" w:firstLineChars="200"/>
        <w:textAlignment w:val="auto"/>
        <w:rPr>
          <w:rFonts w:eastAsia="方正仿宋_GBK"/>
          <w:sz w:val="32"/>
          <w:szCs w:val="32"/>
        </w:rPr>
      </w:pPr>
      <w:r>
        <w:rPr>
          <w:rFonts w:hint="eastAsia" w:eastAsia="方正仿宋_GBK"/>
          <w:sz w:val="32"/>
          <w:szCs w:val="32"/>
        </w:rPr>
        <w:t>致：</w:t>
      </w:r>
      <w:r>
        <w:rPr>
          <w:rFonts w:hint="eastAsia" w:eastAsia="方正仿宋_GBK"/>
          <w:sz w:val="32"/>
          <w:szCs w:val="32"/>
          <w:u w:val="single"/>
        </w:rPr>
        <w:t xml:space="preserve">                     </w:t>
      </w:r>
      <w:r>
        <w:rPr>
          <w:rFonts w:hint="eastAsia" w:eastAsia="方正仿宋_GBK"/>
          <w:sz w:val="32"/>
          <w:szCs w:val="32"/>
        </w:rPr>
        <w:t>：</w:t>
      </w:r>
    </w:p>
    <w:p w14:paraId="4512AC96">
      <w:pPr>
        <w:keepNext w:val="0"/>
        <w:keepLines w:val="0"/>
        <w:pageBreakBefore w:val="0"/>
        <w:widowControl w:val="0"/>
        <w:tabs>
          <w:tab w:val="left" w:pos="6300"/>
        </w:tabs>
        <w:kinsoku/>
        <w:wordWrap/>
        <w:overflowPunct/>
        <w:topLinePunct w:val="0"/>
        <w:autoSpaceDE/>
        <w:autoSpaceDN/>
        <w:bidi w:val="0"/>
        <w:adjustRightInd/>
        <w:snapToGrid w:val="0"/>
        <w:spacing w:line="600" w:lineRule="exact"/>
        <w:ind w:firstLine="640" w:firstLineChars="200"/>
        <w:textAlignment w:val="auto"/>
        <w:rPr>
          <w:rFonts w:eastAsia="方正仿宋_GBK"/>
          <w:sz w:val="32"/>
          <w:szCs w:val="32"/>
        </w:rPr>
      </w:pPr>
      <w:r>
        <w:rPr>
          <w:rFonts w:hint="eastAsia" w:eastAsia="方正仿宋_GBK"/>
          <w:sz w:val="32"/>
          <w:szCs w:val="32"/>
          <w:u w:val="single"/>
        </w:rPr>
        <w:t xml:space="preserve">      </w:t>
      </w:r>
      <w:r>
        <w:rPr>
          <w:rFonts w:hint="eastAsia" w:eastAsia="方正仿宋_GBK"/>
          <w:sz w:val="32"/>
          <w:szCs w:val="32"/>
        </w:rPr>
        <w:t>（供应商法定代表人/分公司负责人名称）是</w:t>
      </w:r>
      <w:r>
        <w:rPr>
          <w:rFonts w:hint="eastAsia" w:eastAsia="方正仿宋_GBK"/>
          <w:sz w:val="32"/>
          <w:szCs w:val="32"/>
          <w:u w:val="single"/>
        </w:rPr>
        <w:t xml:space="preserve">                    </w:t>
      </w:r>
      <w:r>
        <w:rPr>
          <w:rFonts w:hint="eastAsia" w:eastAsia="方正仿宋_GBK"/>
          <w:sz w:val="32"/>
          <w:szCs w:val="32"/>
        </w:rPr>
        <w:t>（供应商名称）的法定代表人/分公司负责人，特授权</w:t>
      </w:r>
      <w:r>
        <w:rPr>
          <w:rFonts w:hint="eastAsia" w:eastAsia="方正仿宋_GBK"/>
          <w:sz w:val="32"/>
          <w:szCs w:val="32"/>
          <w:u w:val="single"/>
        </w:rPr>
        <w:t xml:space="preserve">          </w:t>
      </w:r>
      <w:r>
        <w:rPr>
          <w:rFonts w:hint="eastAsia" w:eastAsia="方正仿宋_GBK"/>
          <w:sz w:val="32"/>
          <w:szCs w:val="32"/>
        </w:rPr>
        <w:t>（被授权人姓名及身份证代码）代表我单位全权办理上述项目的</w:t>
      </w:r>
      <w:r>
        <w:rPr>
          <w:rFonts w:hint="eastAsia" w:ascii="方正仿宋_GBK" w:hAnsi="方正仿宋_GBK" w:eastAsia="方正仿宋_GBK" w:cs="方正仿宋_GBK"/>
          <w:sz w:val="32"/>
          <w:szCs w:val="32"/>
        </w:rPr>
        <w:t>沟通、谈判、信息及文件传递、按投标文件讲标等相关事务性工作</w:t>
      </w:r>
      <w:r>
        <w:rPr>
          <w:rFonts w:hint="eastAsia" w:eastAsia="方正仿宋_GBK"/>
          <w:sz w:val="32"/>
          <w:szCs w:val="32"/>
        </w:rPr>
        <w:t>，并签署全部采购谈判有关文件（不含协议及合同）。被授权人在授权范围内进行的一切活动，本单位均予以认可并对此承担责任。被授权人在授权书有效期内签署的所有文件不因授权的撤销而失效。</w:t>
      </w:r>
    </w:p>
    <w:p w14:paraId="743B06E1">
      <w:pPr>
        <w:keepNext w:val="0"/>
        <w:keepLines w:val="0"/>
        <w:pageBreakBefore w:val="0"/>
        <w:widowControl w:val="0"/>
        <w:tabs>
          <w:tab w:val="left" w:pos="6300"/>
        </w:tabs>
        <w:kinsoku/>
        <w:wordWrap/>
        <w:overflowPunct/>
        <w:topLinePunct w:val="0"/>
        <w:autoSpaceDE/>
        <w:autoSpaceDN/>
        <w:bidi w:val="0"/>
        <w:adjustRightInd/>
        <w:snapToGrid w:val="0"/>
        <w:spacing w:line="6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委托期限：             </w:t>
      </w:r>
    </w:p>
    <w:p w14:paraId="6E90EA9A">
      <w:pPr>
        <w:keepNext w:val="0"/>
        <w:keepLines w:val="0"/>
        <w:pageBreakBefore w:val="0"/>
        <w:widowControl w:val="0"/>
        <w:tabs>
          <w:tab w:val="left" w:pos="6300"/>
        </w:tabs>
        <w:kinsoku/>
        <w:wordWrap/>
        <w:overflowPunct/>
        <w:topLinePunct w:val="0"/>
        <w:autoSpaceDE/>
        <w:autoSpaceDN/>
        <w:bidi w:val="0"/>
        <w:adjustRightInd/>
        <w:snapToGrid w:val="0"/>
        <w:spacing w:line="6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代理人无转委托权。</w:t>
      </w:r>
    </w:p>
    <w:p w14:paraId="0DD48F78">
      <w:pPr>
        <w:keepNext w:val="0"/>
        <w:keepLines w:val="0"/>
        <w:pageBreakBefore w:val="0"/>
        <w:widowControl w:val="0"/>
        <w:tabs>
          <w:tab w:val="left" w:pos="6300"/>
        </w:tabs>
        <w:kinsoku/>
        <w:wordWrap/>
        <w:overflowPunct/>
        <w:topLinePunct w:val="0"/>
        <w:autoSpaceDE/>
        <w:autoSpaceDN/>
        <w:bidi w:val="0"/>
        <w:adjustRightInd/>
        <w:snapToGrid w:val="0"/>
        <w:spacing w:line="600" w:lineRule="exact"/>
        <w:ind w:firstLine="640" w:firstLineChars="200"/>
        <w:textAlignment w:val="auto"/>
        <w:rPr>
          <w:rFonts w:eastAsia="方正仿宋_GBK"/>
          <w:sz w:val="32"/>
          <w:szCs w:val="32"/>
        </w:rPr>
      </w:pPr>
      <w:r>
        <w:rPr>
          <w:rFonts w:hint="eastAsia" w:eastAsia="方正仿宋_GBK"/>
          <w:sz w:val="32"/>
          <w:szCs w:val="32"/>
        </w:rPr>
        <w:t>（附：被授权人身份证正反面复印件）</w:t>
      </w:r>
    </w:p>
    <w:p w14:paraId="2E60DE35">
      <w:pPr>
        <w:tabs>
          <w:tab w:val="left" w:pos="6300"/>
        </w:tabs>
        <w:snapToGrid w:val="0"/>
        <w:spacing w:line="60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被授权人</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（签字或盖章）</w:t>
      </w:r>
    </w:p>
    <w:p w14:paraId="376D0E35">
      <w:pPr>
        <w:tabs>
          <w:tab w:val="left" w:pos="6300"/>
        </w:tabs>
        <w:snapToGrid w:val="0"/>
        <w:spacing w:line="60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身份证号码：</w:t>
      </w:r>
      <w:r>
        <w:rPr>
          <w:rFonts w:hint="eastAsia" w:ascii="方正仿宋_GBK" w:hAnsi="方正仿宋_GBK" w:eastAsia="方正仿宋_GBK" w:cs="方正仿宋_GBK"/>
          <w:sz w:val="32"/>
          <w:szCs w:val="32"/>
          <w:u w:val="single"/>
        </w:rPr>
        <w:t xml:space="preserve">                       </w:t>
      </w:r>
    </w:p>
    <w:p w14:paraId="31A98298">
      <w:pPr>
        <w:tabs>
          <w:tab w:val="left" w:pos="6300"/>
        </w:tabs>
        <w:snapToGrid w:val="0"/>
        <w:spacing w:line="60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供应商法定代表人/分公司负责人：</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（签字或盖章）</w:t>
      </w:r>
    </w:p>
    <w:p w14:paraId="5F3E0D08">
      <w:pPr>
        <w:tabs>
          <w:tab w:val="left" w:pos="6300"/>
        </w:tabs>
        <w:snapToGrid w:val="0"/>
        <w:spacing w:line="60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身份证号码：</w:t>
      </w:r>
      <w:r>
        <w:rPr>
          <w:rFonts w:hint="eastAsia" w:ascii="方正仿宋_GBK" w:hAnsi="方正仿宋_GBK" w:eastAsia="方正仿宋_GBK" w:cs="方正仿宋_GBK"/>
          <w:sz w:val="32"/>
          <w:szCs w:val="32"/>
          <w:u w:val="single"/>
        </w:rPr>
        <w:t xml:space="preserve">                       </w:t>
      </w:r>
    </w:p>
    <w:p w14:paraId="646FC6D4">
      <w:pPr>
        <w:tabs>
          <w:tab w:val="left" w:pos="6300"/>
        </w:tabs>
        <w:snapToGrid w:val="0"/>
        <w:spacing w:line="600" w:lineRule="exact"/>
        <w:ind w:firstLine="570"/>
        <w:rPr>
          <w:rFonts w:eastAsia="方正仿宋_GBK"/>
          <w:sz w:val="32"/>
          <w:szCs w:val="32"/>
        </w:rPr>
      </w:pPr>
      <w:r>
        <w:rPr>
          <w:rFonts w:hint="eastAsia" w:eastAsia="方正仿宋_GBK"/>
          <w:sz w:val="32"/>
          <w:szCs w:val="32"/>
        </w:rPr>
        <w:t xml:space="preserve">                                          </w:t>
      </w:r>
    </w:p>
    <w:p w14:paraId="2A42B834">
      <w:pPr>
        <w:tabs>
          <w:tab w:val="left" w:pos="6300"/>
        </w:tabs>
        <w:snapToGrid w:val="0"/>
        <w:spacing w:line="600" w:lineRule="exact"/>
        <w:ind w:right="480" w:firstLine="570"/>
        <w:jc w:val="right"/>
        <w:rPr>
          <w:rFonts w:eastAsia="方正仿宋_GBK"/>
          <w:sz w:val="32"/>
          <w:szCs w:val="32"/>
        </w:rPr>
      </w:pPr>
      <w:r>
        <w:rPr>
          <w:rFonts w:hint="eastAsia" w:eastAsia="方正仿宋_GBK"/>
          <w:sz w:val="32"/>
          <w:szCs w:val="32"/>
        </w:rPr>
        <w:t>（供应商公章）</w:t>
      </w:r>
    </w:p>
    <w:p w14:paraId="60EA2B8A">
      <w:pPr>
        <w:tabs>
          <w:tab w:val="left" w:pos="6300"/>
        </w:tabs>
        <w:snapToGrid w:val="0"/>
        <w:spacing w:line="600" w:lineRule="exact"/>
        <w:ind w:right="480" w:firstLine="570"/>
        <w:jc w:val="right"/>
        <w:rPr>
          <w:rFonts w:eastAsia="方正仿宋_GBK"/>
          <w:sz w:val="32"/>
          <w:szCs w:val="32"/>
        </w:rPr>
      </w:pPr>
      <w:r>
        <w:rPr>
          <w:rFonts w:hint="eastAsia" w:eastAsia="方正仿宋_GBK"/>
          <w:sz w:val="32"/>
          <w:szCs w:val="32"/>
        </w:rPr>
        <w:t>年   月   日</w:t>
      </w:r>
    </w:p>
    <w:p w14:paraId="537DDFB1">
      <w:pPr>
        <w:rPr>
          <w:rFonts w:eastAsia="方正仿宋_GBK"/>
          <w:sz w:val="32"/>
          <w:szCs w:val="32"/>
        </w:rPr>
      </w:pPr>
      <w:r>
        <w:rPr>
          <w:rFonts w:hint="eastAsia" w:eastAsia="方正仿宋_GBK"/>
          <w:sz w:val="32"/>
          <w:szCs w:val="32"/>
        </w:rPr>
        <w:br w:type="page"/>
      </w:r>
    </w:p>
    <w:p w14:paraId="75A38D60">
      <w:pPr>
        <w:snapToGrid w:val="0"/>
        <w:spacing w:line="600" w:lineRule="exact"/>
        <w:jc w:val="center"/>
        <w:rPr>
          <w:rFonts w:eastAsia="方正楷体_GBK"/>
          <w:sz w:val="32"/>
          <w:szCs w:val="32"/>
        </w:rPr>
      </w:pPr>
      <w:r>
        <w:rPr>
          <w:rFonts w:hint="eastAsia" w:eastAsia="方正楷体_GBK"/>
          <w:sz w:val="32"/>
          <w:szCs w:val="32"/>
        </w:rPr>
        <w:t>4.书面声明</w:t>
      </w:r>
    </w:p>
    <w:p w14:paraId="342D7BE8">
      <w:pPr>
        <w:tabs>
          <w:tab w:val="left" w:pos="6300"/>
        </w:tabs>
        <w:snapToGrid w:val="0"/>
        <w:spacing w:line="600" w:lineRule="exact"/>
        <w:ind w:firstLine="570"/>
        <w:rPr>
          <w:rFonts w:eastAsia="方正仿宋_GBK"/>
          <w:sz w:val="32"/>
          <w:szCs w:val="32"/>
        </w:rPr>
      </w:pPr>
    </w:p>
    <w:p w14:paraId="048597DE">
      <w:pPr>
        <w:tabs>
          <w:tab w:val="left" w:pos="6300"/>
        </w:tabs>
        <w:snapToGrid w:val="0"/>
        <w:spacing w:line="600" w:lineRule="exact"/>
        <w:ind w:firstLine="640" w:firstLineChars="200"/>
        <w:rPr>
          <w:rFonts w:eastAsia="方正仿宋_GBK"/>
          <w:sz w:val="32"/>
          <w:szCs w:val="32"/>
        </w:rPr>
      </w:pPr>
      <w:r>
        <w:rPr>
          <w:rFonts w:hint="eastAsia" w:eastAsia="方正仿宋_GBK"/>
          <w:sz w:val="32"/>
          <w:szCs w:val="32"/>
        </w:rPr>
        <w:t>项目名称：</w:t>
      </w:r>
      <w:r>
        <w:rPr>
          <w:rFonts w:hint="eastAsia" w:eastAsia="方正仿宋_GBK"/>
          <w:sz w:val="32"/>
          <w:szCs w:val="32"/>
          <w:u w:val="single"/>
        </w:rPr>
        <w:t xml:space="preserve">                                                </w:t>
      </w:r>
    </w:p>
    <w:p w14:paraId="74D987BB">
      <w:pPr>
        <w:tabs>
          <w:tab w:val="left" w:pos="6300"/>
        </w:tabs>
        <w:snapToGrid w:val="0"/>
        <w:spacing w:line="600" w:lineRule="exact"/>
        <w:ind w:firstLine="570"/>
        <w:rPr>
          <w:rFonts w:eastAsia="方正仿宋_GBK"/>
          <w:sz w:val="32"/>
          <w:szCs w:val="32"/>
        </w:rPr>
      </w:pPr>
    </w:p>
    <w:p w14:paraId="2AAC7761">
      <w:pPr>
        <w:tabs>
          <w:tab w:val="left" w:pos="6300"/>
        </w:tabs>
        <w:snapToGrid w:val="0"/>
        <w:spacing w:line="600" w:lineRule="exact"/>
        <w:ind w:firstLine="640" w:firstLineChars="200"/>
        <w:rPr>
          <w:rFonts w:eastAsia="方正仿宋_GBK"/>
          <w:sz w:val="32"/>
          <w:szCs w:val="32"/>
        </w:rPr>
      </w:pPr>
      <w:r>
        <w:rPr>
          <w:rFonts w:hint="eastAsia" w:eastAsia="方正仿宋_GBK"/>
          <w:sz w:val="32"/>
          <w:szCs w:val="32"/>
        </w:rPr>
        <w:t>致：</w:t>
      </w:r>
      <w:r>
        <w:rPr>
          <w:rFonts w:hint="eastAsia" w:eastAsia="方正仿宋_GBK"/>
          <w:sz w:val="32"/>
          <w:szCs w:val="32"/>
          <w:u w:val="single"/>
        </w:rPr>
        <w:t xml:space="preserve">                   </w:t>
      </w:r>
      <w:r>
        <w:rPr>
          <w:rFonts w:hint="eastAsia" w:eastAsia="方正仿宋_GBK"/>
          <w:sz w:val="32"/>
          <w:szCs w:val="32"/>
        </w:rPr>
        <w:t>：</w:t>
      </w:r>
    </w:p>
    <w:p w14:paraId="11FC4997">
      <w:pPr>
        <w:tabs>
          <w:tab w:val="left" w:pos="6300"/>
        </w:tabs>
        <w:snapToGrid w:val="0"/>
        <w:spacing w:line="600" w:lineRule="exact"/>
        <w:ind w:firstLine="640" w:firstLineChars="200"/>
        <w:rPr>
          <w:rFonts w:eastAsia="方正仿宋_GBK"/>
          <w:sz w:val="32"/>
          <w:szCs w:val="32"/>
        </w:rPr>
      </w:pPr>
      <w:r>
        <w:rPr>
          <w:rFonts w:hint="eastAsia" w:eastAsia="方正仿宋_GBK"/>
          <w:sz w:val="32"/>
          <w:szCs w:val="32"/>
          <w:u w:val="single"/>
        </w:rPr>
        <w:t xml:space="preserve">                      </w:t>
      </w:r>
      <w:r>
        <w:rPr>
          <w:rFonts w:hint="eastAsia" w:eastAsia="方正仿宋_GBK"/>
          <w:sz w:val="32"/>
          <w:szCs w:val="32"/>
        </w:rPr>
        <w:t>（供应商名称）郑重声明，我公司具有良好的商业信誉，具有履行合同所必需的设备和专业技术能力，在合同签订前后随时愿意提供相关证明材料；我公司还同时声明参加本项目采购活动前三年内无重大违法活动记录；未列入在信用中国网站（www.creditchina.gov.cn）“失信被执行人”“重大税收违法案件当事人名单”中，也未列入中国政府采购网（www.ccgp.gov.cn）“政府采购严重违法失信行为记录名单”中，并随时接受采购人、采购代理机构的检查验证，我方对以上声明负全部法律责任。</w:t>
      </w:r>
    </w:p>
    <w:p w14:paraId="76607B3F">
      <w:pPr>
        <w:tabs>
          <w:tab w:val="left" w:pos="6300"/>
        </w:tabs>
        <w:snapToGrid w:val="0"/>
        <w:spacing w:line="600" w:lineRule="exact"/>
        <w:ind w:firstLine="640" w:firstLineChars="200"/>
        <w:rPr>
          <w:rFonts w:eastAsia="方正仿宋_GBK"/>
          <w:sz w:val="32"/>
          <w:szCs w:val="32"/>
        </w:rPr>
      </w:pPr>
      <w:r>
        <w:rPr>
          <w:rFonts w:hint="eastAsia" w:eastAsia="方正仿宋_GBK"/>
          <w:sz w:val="32"/>
          <w:szCs w:val="32"/>
        </w:rPr>
        <w:t>特此声明。</w:t>
      </w:r>
    </w:p>
    <w:p w14:paraId="50A97B0E">
      <w:pPr>
        <w:tabs>
          <w:tab w:val="left" w:pos="6300"/>
        </w:tabs>
        <w:snapToGrid w:val="0"/>
        <w:spacing w:line="600" w:lineRule="exact"/>
        <w:ind w:firstLine="570"/>
        <w:rPr>
          <w:rFonts w:eastAsia="方正仿宋_GBK"/>
          <w:sz w:val="32"/>
          <w:szCs w:val="32"/>
        </w:rPr>
      </w:pPr>
    </w:p>
    <w:p w14:paraId="09AAB2A2">
      <w:pPr>
        <w:tabs>
          <w:tab w:val="left" w:pos="6300"/>
        </w:tabs>
        <w:snapToGrid w:val="0"/>
        <w:spacing w:line="600" w:lineRule="exact"/>
        <w:ind w:firstLine="570"/>
        <w:rPr>
          <w:rFonts w:eastAsia="方正仿宋_GBK"/>
          <w:sz w:val="32"/>
          <w:szCs w:val="32"/>
        </w:rPr>
      </w:pPr>
    </w:p>
    <w:p w14:paraId="6104805A">
      <w:pPr>
        <w:tabs>
          <w:tab w:val="left" w:pos="6300"/>
        </w:tabs>
        <w:snapToGrid w:val="0"/>
        <w:spacing w:line="600" w:lineRule="exact"/>
        <w:ind w:right="424" w:firstLine="570"/>
        <w:jc w:val="right"/>
        <w:rPr>
          <w:rFonts w:eastAsia="方正仿宋_GBK"/>
          <w:sz w:val="32"/>
          <w:szCs w:val="32"/>
        </w:rPr>
      </w:pPr>
      <w:r>
        <w:rPr>
          <w:rFonts w:hint="eastAsia" w:eastAsia="方正仿宋_GBK"/>
          <w:sz w:val="32"/>
          <w:szCs w:val="32"/>
        </w:rPr>
        <w:t>（供应商公章）</w:t>
      </w:r>
    </w:p>
    <w:p w14:paraId="600BAA56">
      <w:pPr>
        <w:tabs>
          <w:tab w:val="left" w:pos="6300"/>
        </w:tabs>
        <w:snapToGrid w:val="0"/>
        <w:spacing w:line="600" w:lineRule="exact"/>
        <w:ind w:right="480" w:firstLine="570"/>
        <w:jc w:val="right"/>
        <w:rPr>
          <w:rFonts w:eastAsia="方正仿宋_GBK"/>
          <w:sz w:val="32"/>
          <w:szCs w:val="32"/>
        </w:rPr>
      </w:pPr>
      <w:r>
        <w:rPr>
          <w:rFonts w:hint="eastAsia" w:eastAsia="方正仿宋_GBK"/>
          <w:sz w:val="32"/>
          <w:szCs w:val="32"/>
        </w:rPr>
        <w:t>年   月   日</w:t>
      </w:r>
    </w:p>
    <w:p w14:paraId="10E07953">
      <w:pPr>
        <w:tabs>
          <w:tab w:val="left" w:pos="6300"/>
        </w:tabs>
        <w:snapToGrid w:val="0"/>
        <w:spacing w:line="600" w:lineRule="exact"/>
        <w:ind w:right="1680"/>
        <w:rPr>
          <w:rFonts w:eastAsia="方正仿宋_GBK"/>
          <w:sz w:val="32"/>
          <w:szCs w:val="32"/>
        </w:rPr>
      </w:pPr>
    </w:p>
    <w:p w14:paraId="4DE1C269">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eastAsia="仿宋"/>
          <w:sz w:val="24"/>
        </w:rPr>
      </w:pPr>
      <w:r>
        <w:rPr>
          <w:rFonts w:hint="eastAsia" w:eastAsia="方正仿宋_GBK"/>
          <w:sz w:val="32"/>
          <w:szCs w:val="32"/>
        </w:rPr>
        <w:br w:type="page"/>
      </w:r>
      <w:bookmarkStart w:id="32" w:name="_Toc510092442"/>
      <w:bookmarkStart w:id="33" w:name="_Toc5798656"/>
      <w:r>
        <w:rPr>
          <w:rFonts w:hint="eastAsia" w:ascii="方正楷体_GBK" w:hAnsi="方正楷体_GBK" w:eastAsia="方正楷体_GBK" w:cs="方正楷体_GBK"/>
          <w:sz w:val="32"/>
          <w:szCs w:val="32"/>
        </w:rPr>
        <w:t>（五）其他应提供的资料</w:t>
      </w:r>
      <w:bookmarkEnd w:id="32"/>
      <w:bookmarkEnd w:id="33"/>
      <w:r>
        <w:rPr>
          <w:rFonts w:hint="eastAsia" w:ascii="方正楷体_GBK" w:hAnsi="方正楷体_GBK" w:eastAsia="方正楷体_GBK" w:cs="方正楷体_GBK"/>
          <w:sz w:val="32"/>
          <w:szCs w:val="32"/>
        </w:rPr>
        <w:t>：</w:t>
      </w:r>
      <w:r>
        <w:rPr>
          <w:rFonts w:hint="eastAsia" w:eastAsia="方正仿宋_GBK"/>
          <w:sz w:val="32"/>
          <w:szCs w:val="32"/>
        </w:rPr>
        <w:t>供应商总体情况介绍、其他与本项目有关的资料等</w:t>
      </w:r>
      <w:r>
        <w:rPr>
          <w:rFonts w:hint="eastAsia" w:eastAsia="仿宋"/>
          <w:sz w:val="32"/>
          <w:szCs w:val="32"/>
        </w:rPr>
        <w:t>（应包括评审标准中要求的相应材料，格式自定）</w:t>
      </w:r>
    </w:p>
    <w:p w14:paraId="7254A59D">
      <w:pPr>
        <w:tabs>
          <w:tab w:val="left" w:pos="6300"/>
        </w:tabs>
        <w:snapToGrid w:val="0"/>
        <w:spacing w:line="500" w:lineRule="exact"/>
        <w:ind w:firstLine="570"/>
        <w:jc w:val="left"/>
        <w:rPr>
          <w:rFonts w:eastAsia="仿宋"/>
          <w:sz w:val="24"/>
        </w:rPr>
      </w:pPr>
    </w:p>
    <w:p w14:paraId="0185F628">
      <w:pPr>
        <w:tabs>
          <w:tab w:val="left" w:pos="6300"/>
        </w:tabs>
        <w:snapToGrid w:val="0"/>
        <w:spacing w:line="500" w:lineRule="exact"/>
        <w:ind w:firstLine="570"/>
        <w:jc w:val="left"/>
        <w:rPr>
          <w:rFonts w:eastAsia="仿宋"/>
          <w:sz w:val="24"/>
        </w:rPr>
      </w:pPr>
    </w:p>
    <w:p w14:paraId="20D4F2D3">
      <w:pPr>
        <w:tabs>
          <w:tab w:val="left" w:pos="6300"/>
        </w:tabs>
        <w:snapToGrid w:val="0"/>
        <w:spacing w:line="500" w:lineRule="exact"/>
        <w:jc w:val="center"/>
        <w:rPr>
          <w:rFonts w:eastAsia="仿宋"/>
          <w:sz w:val="24"/>
        </w:rPr>
      </w:pPr>
      <w:r>
        <w:rPr>
          <w:rFonts w:hint="eastAsia" w:eastAsia="仿宋"/>
          <w:sz w:val="24"/>
        </w:rPr>
        <w:t>（结束）</w:t>
      </w:r>
    </w:p>
    <w:p w14:paraId="563A925A"/>
    <w:sectPr>
      <w:pgSz w:w="11905"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A00002EF" w:usb1="4000004B" w:usb2="00000000" w:usb3="00000000" w:csb0="2000009F"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7F9AC">
    <w:pPr>
      <w:pStyle w:val="8"/>
      <w:tabs>
        <w:tab w:val="clear" w:pos="4153"/>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AA7529">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AAA7529">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A501B">
    <w:pPr>
      <w:pStyle w:val="8"/>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043257">
                          <w:pPr>
                            <w:pStyle w:val="8"/>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043257">
                    <w:pPr>
                      <w:pStyle w:val="8"/>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7F326B"/>
    <w:multiLevelType w:val="multilevel"/>
    <w:tmpl w:val="6F7F326B"/>
    <w:lvl w:ilvl="0" w:tentative="0">
      <w:start w:val="1"/>
      <w:numFmt w:val="decimal"/>
      <w:lvlText w:val="%1"/>
      <w:lvlJc w:val="left"/>
      <w:pPr>
        <w:ind w:left="425" w:hanging="425"/>
      </w:pPr>
      <w:rPr>
        <w:rFonts w:hint="eastAsia" w:ascii="宋体" w:hAnsi="宋体" w:eastAsia="宋体"/>
        <w:caps w:val="0"/>
        <w:strike w:val="0"/>
        <w:dstrike w:val="0"/>
        <w:vanish w:val="0"/>
        <w:sz w:val="30"/>
        <w:vertAlign w:val="baseline"/>
      </w:rPr>
    </w:lvl>
    <w:lvl w:ilvl="1" w:tentative="0">
      <w:start w:val="1"/>
      <w:numFmt w:val="decimal"/>
      <w:lvlText w:val="%1.%2"/>
      <w:lvlJc w:val="left"/>
      <w:pPr>
        <w:ind w:left="992" w:hanging="567"/>
      </w:pPr>
      <w:rPr>
        <w:rFonts w:hint="default" w:ascii="宋体" w:hAnsi="宋体" w:eastAsia="宋体"/>
        <w:b/>
      </w:rPr>
    </w:lvl>
    <w:lvl w:ilvl="2" w:tentative="0">
      <w:start w:val="1"/>
      <w:numFmt w:val="decimal"/>
      <w:pStyle w:val="3"/>
      <w:lvlText w:val="%1.%2.%3"/>
      <w:lvlJc w:val="left"/>
      <w:pPr>
        <w:ind w:left="1134"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mNjFhMWMzOGEyZjgzZjQ3NmIzNDBjNTg5ZmNkOWUifQ=="/>
  </w:docVars>
  <w:rsids>
    <w:rsidRoot w:val="33916772"/>
    <w:rsid w:val="02E261D5"/>
    <w:rsid w:val="0ABA6AE2"/>
    <w:rsid w:val="0C985DF5"/>
    <w:rsid w:val="0D466B4A"/>
    <w:rsid w:val="0F1A4F70"/>
    <w:rsid w:val="1C4B6D19"/>
    <w:rsid w:val="1CA56C3B"/>
    <w:rsid w:val="1EE618A7"/>
    <w:rsid w:val="21350F58"/>
    <w:rsid w:val="272E057D"/>
    <w:rsid w:val="2A27165A"/>
    <w:rsid w:val="33916772"/>
    <w:rsid w:val="37B76814"/>
    <w:rsid w:val="3A12378C"/>
    <w:rsid w:val="40BD0FFA"/>
    <w:rsid w:val="41E55C2A"/>
    <w:rsid w:val="5A4F513B"/>
    <w:rsid w:val="5C2F5FC8"/>
    <w:rsid w:val="5F6069B7"/>
    <w:rsid w:val="5F7B4FD5"/>
    <w:rsid w:val="61493688"/>
    <w:rsid w:val="618A79A8"/>
    <w:rsid w:val="61C6266A"/>
    <w:rsid w:val="698C05B6"/>
    <w:rsid w:val="7E05733E"/>
    <w:rsid w:val="7F206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7"/>
    <w:qFormat/>
    <w:uiPriority w:val="0"/>
    <w:pPr>
      <w:keepNext/>
      <w:keepLines/>
      <w:adjustRightInd w:val="0"/>
      <w:snapToGrid w:val="0"/>
      <w:spacing w:line="360" w:lineRule="auto"/>
      <w:jc w:val="center"/>
      <w:outlineLvl w:val="0"/>
    </w:pPr>
    <w:rPr>
      <w:rFonts w:ascii="Times New Roman" w:hAnsi="Times New Roman" w:eastAsia="方正小标宋_GBK"/>
      <w:kern w:val="44"/>
      <w:sz w:val="44"/>
      <w:szCs w:val="44"/>
    </w:rPr>
  </w:style>
  <w:style w:type="paragraph" w:styleId="3">
    <w:name w:val="heading 3"/>
    <w:basedOn w:val="1"/>
    <w:next w:val="1"/>
    <w:qFormat/>
    <w:uiPriority w:val="99"/>
    <w:pPr>
      <w:keepNext/>
      <w:keepLines/>
      <w:numPr>
        <w:ilvl w:val="2"/>
        <w:numId w:val="1"/>
      </w:numPr>
      <w:spacing w:before="120" w:after="120"/>
      <w:jc w:val="left"/>
      <w:outlineLvl w:val="2"/>
    </w:pPr>
    <w:rPr>
      <w:rFonts w:ascii="宋体" w:hAnsi="宋体" w:eastAsia="微软雅黑"/>
      <w:bCs/>
      <w:kern w:val="0"/>
      <w:sz w:val="2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1"/>
    <w:rPr>
      <w:rFonts w:ascii="方正仿宋_GBK" w:hAnsi="方正仿宋_GBK" w:eastAsia="方正仿宋_GBK" w:cs="方正仿宋_GBK"/>
      <w:sz w:val="28"/>
      <w:szCs w:val="28"/>
      <w:lang w:val="zh-CN" w:bidi="zh-CN"/>
    </w:rPr>
  </w:style>
  <w:style w:type="paragraph" w:styleId="5">
    <w:name w:val="Body Text First Indent"/>
    <w:basedOn w:val="4"/>
    <w:next w:val="6"/>
    <w:qFormat/>
    <w:uiPriority w:val="0"/>
    <w:pPr>
      <w:spacing w:after="120"/>
      <w:ind w:firstLine="420" w:firstLineChars="100"/>
    </w:pPr>
    <w:rPr>
      <w:rFonts w:ascii="仿宋_GB2312"/>
      <w:sz w:val="21"/>
    </w:rPr>
  </w:style>
  <w:style w:type="paragraph" w:customStyle="1" w:styleId="6">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szCs w:val="20"/>
    </w:rPr>
  </w:style>
  <w:style w:type="paragraph" w:styleId="7">
    <w:name w:val="Body Text Indent"/>
    <w:basedOn w:val="1"/>
    <w:qFormat/>
    <w:uiPriority w:val="0"/>
    <w:pPr>
      <w:spacing w:line="480" w:lineRule="atLeast"/>
      <w:ind w:firstLine="570"/>
    </w:pPr>
    <w:rPr>
      <w:rFonts w:ascii="??" w:hAnsi="??" w:eastAsia="??"/>
      <w:sz w:val="28"/>
      <w:szCs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unhideWhenUsed/>
    <w:qFormat/>
    <w:uiPriority w:val="39"/>
    <w:pPr>
      <w:tabs>
        <w:tab w:val="right" w:leader="dot" w:pos="8302"/>
      </w:tabs>
      <w:jc w:val="center"/>
    </w:pPr>
    <w:rPr>
      <w:szCs w:val="20"/>
    </w:rPr>
  </w:style>
  <w:style w:type="paragraph" w:styleId="11">
    <w:name w:val="Message Header"/>
    <w:basedOn w:val="1"/>
    <w:next w:val="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Title"/>
    <w:basedOn w:val="1"/>
    <w:next w:val="1"/>
    <w:qFormat/>
    <w:uiPriority w:val="0"/>
    <w:pPr>
      <w:spacing w:before="240" w:after="60"/>
      <w:jc w:val="center"/>
      <w:outlineLvl w:val="0"/>
    </w:pPr>
    <w:rPr>
      <w:rFonts w:ascii="Cambria" w:hAnsi="Cambria" w:eastAsia="Times New Roman"/>
      <w:b/>
      <w:bCs/>
      <w:szCs w:val="32"/>
    </w:rPr>
  </w:style>
  <w:style w:type="character" w:styleId="16">
    <w:name w:val="Strong"/>
    <w:basedOn w:val="15"/>
    <w:qFormat/>
    <w:uiPriority w:val="0"/>
    <w:rPr>
      <w:b/>
    </w:rPr>
  </w:style>
  <w:style w:type="character" w:customStyle="1" w:styleId="17">
    <w:name w:val=" Char Char6"/>
    <w:link w:val="2"/>
    <w:qFormat/>
    <w:locked/>
    <w:uiPriority w:val="0"/>
    <w:rPr>
      <w:rFonts w:ascii="Times New Roman" w:hAnsi="Times New Roman" w:eastAsia="方正小标宋_GBK"/>
      <w:kern w:val="44"/>
      <w:sz w:val="44"/>
      <w:szCs w:val="44"/>
      <w:lang w:val="en-US" w:eastAsia="zh-CN" w:bidi="ar-SA"/>
    </w:rPr>
  </w:style>
  <w:style w:type="paragraph" w:customStyle="1" w:styleId="18">
    <w:name w:val="正文首行缩进 21"/>
    <w:basedOn w:val="19"/>
    <w:next w:val="1"/>
    <w:qFormat/>
    <w:uiPriority w:val="0"/>
    <w:pPr>
      <w:ind w:firstLine="420" w:firstLineChars="200"/>
    </w:pPr>
  </w:style>
  <w:style w:type="paragraph" w:customStyle="1" w:styleId="19">
    <w:name w:val="正文文本缩进1"/>
    <w:basedOn w:val="1"/>
    <w:next w:val="18"/>
    <w:qFormat/>
    <w:uiPriority w:val="0"/>
    <w:pPr>
      <w:spacing w:after="120"/>
      <w:ind w:left="420" w:leftChars="200"/>
    </w:pPr>
  </w:style>
  <w:style w:type="paragraph" w:customStyle="1" w:styleId="20">
    <w:name w:val="Default"/>
    <w:qFormat/>
    <w:uiPriority w:val="0"/>
    <w:pPr>
      <w:widowControl w:val="0"/>
      <w:autoSpaceDE w:val="0"/>
      <w:autoSpaceDN w:val="0"/>
      <w:adjustRightInd w:val="0"/>
    </w:pPr>
    <w:rPr>
      <w:rFonts w:ascii="微软雅黑" w:hAnsi="Calibri" w:eastAsia="微软雅黑" w:cs="微软雅黑"/>
      <w:color w:val="000000"/>
      <w:sz w:val="24"/>
      <w:szCs w:val="24"/>
      <w:lang w:val="en-US" w:eastAsia="zh-CN" w:bidi="ar-SA"/>
    </w:rPr>
  </w:style>
  <w:style w:type="paragraph" w:styleId="21">
    <w:name w:val="List Paragraph"/>
    <w:basedOn w:val="1"/>
    <w:qFormat/>
    <w:uiPriority w:val="99"/>
    <w:pPr>
      <w:ind w:firstLine="420" w:firstLineChars="200"/>
    </w:pPr>
  </w:style>
  <w:style w:type="character" w:customStyle="1" w:styleId="22">
    <w:name w:val="font71"/>
    <w:basedOn w:val="15"/>
    <w:qFormat/>
    <w:uiPriority w:val="0"/>
    <w:rPr>
      <w:rFonts w:hint="eastAsia" w:ascii="方正仿宋_GBK" w:hAnsi="方正仿宋_GBK" w:eastAsia="方正仿宋_GBK" w:cs="方正仿宋_GBK"/>
      <w:b/>
      <w:bCs/>
      <w:color w:val="000000"/>
      <w:sz w:val="22"/>
      <w:szCs w:val="22"/>
      <w:u w:val="none"/>
    </w:rPr>
  </w:style>
  <w:style w:type="character" w:customStyle="1" w:styleId="23">
    <w:name w:val="font51"/>
    <w:basedOn w:val="15"/>
    <w:qFormat/>
    <w:uiPriority w:val="0"/>
    <w:rPr>
      <w:rFonts w:hint="eastAsia" w:ascii="方正仿宋_GBK" w:hAnsi="方正仿宋_GBK" w:eastAsia="方正仿宋_GBK" w:cs="方正仿宋_GBK"/>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890</Words>
  <Characters>970</Characters>
  <Lines>0</Lines>
  <Paragraphs>0</Paragraphs>
  <TotalTime>12</TotalTime>
  <ScaleCrop>false</ScaleCrop>
  <LinksUpToDate>false</LinksUpToDate>
  <CharactersWithSpaces>986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2024-11-22T08:55:00Z</dcterms:created>
  <dc:creator>zhuyt</dc:creator>
  <cp:lastModifiedBy>zhuyt</cp:lastModifiedBy>
  <dcterms:modified xsi:type="dcterms:W3CDTF">2025-09-08T07:10:12Z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90E7F295773A4E199776C7BD52C48951_11</vt:lpwstr>
  </property>
  <property fmtid="{D5CDD505-2E9C-101B-9397-08002B2CF9AE}" pid="4" name="KSOTemplateDocerSaveRecord">
    <vt:lpwstr>eyJoZGlkIjoiZjM3ZjhkMTY2M2E0ZTkzMWU3N2RiNjAzMTdhNDc2NTEiLCJ1c2VySWQiOiIzOTgyNDIxNTkifQ==</vt:lpwstr>
  </property>
</Properties>
</file>